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cs="MingLiU"/>
          <w:b/>
          <w:kern w:val="0"/>
          <w:sz w:val="20"/>
          <w:szCs w:val="20"/>
          <w:u w:val="single"/>
        </w:rPr>
      </w:pPr>
      <w:bookmarkStart w:id="0" w:name="_Toc224103315"/>
      <w:r>
        <w:rPr>
          <w:rFonts w:hint="eastAsia" w:ascii="宋体" w:hAnsi="宋体"/>
          <w:b/>
          <w:kern w:val="0"/>
          <w:sz w:val="28"/>
          <w:szCs w:val="28"/>
        </w:rPr>
        <w:t>项目名称：</w:t>
      </w:r>
      <w:r>
        <w:rPr>
          <w:rFonts w:hint="eastAsia" w:ascii="宋体" w:hAnsi="宋体"/>
          <w:b/>
          <w:kern w:val="0"/>
          <w:sz w:val="28"/>
          <w:szCs w:val="28"/>
          <w:u w:val="single"/>
          <w:lang w:eastAsia="zh-CN"/>
        </w:rPr>
        <w:t>共享工投公司</w:t>
      </w:r>
      <w:r>
        <w:rPr>
          <w:rFonts w:hint="eastAsia" w:ascii="宋体" w:hAnsi="宋体"/>
          <w:b/>
          <w:kern w:val="0"/>
          <w:sz w:val="28"/>
          <w:szCs w:val="28"/>
          <w:u w:val="single"/>
          <w:lang w:val="en-US" w:eastAsia="zh-CN"/>
        </w:rPr>
        <w:t>2023年度短期融资券主承销商选聘</w:t>
      </w:r>
      <w:r>
        <w:rPr>
          <w:rFonts w:hint="eastAsia" w:ascii="宋体" w:hAnsi="宋体"/>
          <w:b/>
          <w:kern w:val="0"/>
          <w:sz w:val="28"/>
          <w:szCs w:val="28"/>
        </w:rPr>
        <w:t>项目</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rPr>
        <w:t>比  选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ascii="宋体" w:hAnsi="宋体" w:cs="MingLiU"/>
          <w:b/>
          <w:spacing w:val="8"/>
          <w:kern w:val="0"/>
          <w:sz w:val="28"/>
          <w:szCs w:val="28"/>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6219"/>
        </w:tabs>
        <w:autoSpaceDE w:val="0"/>
        <w:autoSpaceDN w:val="0"/>
        <w:adjustRightInd w:val="0"/>
        <w:snapToGrid w:val="0"/>
        <w:spacing w:line="360" w:lineRule="auto"/>
        <w:jc w:val="center"/>
        <w:rPr>
          <w:rFonts w:ascii="宋体" w:hAnsi="宋体"/>
          <w:b/>
          <w:w w:val="99"/>
          <w:kern w:val="0"/>
          <w:sz w:val="30"/>
          <w:szCs w:val="30"/>
        </w:rPr>
      </w:pPr>
      <w:r>
        <w:rPr>
          <w:rFonts w:ascii="宋体" w:hAnsi="宋体"/>
          <w:b/>
          <w:w w:val="99"/>
          <w:kern w:val="0"/>
          <w:sz w:val="30"/>
          <w:szCs w:val="30"/>
        </w:rPr>
        <w:t>招　　标　 人：</w:t>
      </w:r>
      <w:r>
        <w:rPr>
          <w:rFonts w:hint="eastAsia" w:ascii="宋体" w:hAnsi="宋体"/>
          <w:b/>
          <w:w w:val="99"/>
          <w:kern w:val="0"/>
          <w:sz w:val="30"/>
          <w:szCs w:val="30"/>
          <w:u w:val="single"/>
        </w:rPr>
        <w:t>重庆共享工业投资有限公司</w:t>
      </w:r>
    </w:p>
    <w:p>
      <w:pPr>
        <w:autoSpaceDE w:val="0"/>
        <w:autoSpaceDN w:val="0"/>
        <w:adjustRightInd w:val="0"/>
        <w:snapToGrid w:val="0"/>
        <w:spacing w:line="360" w:lineRule="auto"/>
        <w:jc w:val="center"/>
        <w:rPr>
          <w:rFonts w:ascii="宋体" w:hAnsi="宋体"/>
          <w:b/>
          <w:kern w:val="0"/>
          <w:sz w:val="32"/>
          <w:szCs w:val="32"/>
        </w:rPr>
      </w:pPr>
    </w:p>
    <w:p>
      <w:pPr>
        <w:autoSpaceDE w:val="0"/>
        <w:autoSpaceDN w:val="0"/>
        <w:adjustRightInd w:val="0"/>
        <w:snapToGrid w:val="0"/>
        <w:spacing w:line="360" w:lineRule="auto"/>
        <w:rPr>
          <w:rFonts w:ascii="宋体" w:hAnsi="宋体"/>
          <w:b/>
          <w:kern w:val="0"/>
          <w:sz w:val="32"/>
          <w:szCs w:val="32"/>
        </w:rPr>
      </w:pPr>
    </w:p>
    <w:p>
      <w:pPr>
        <w:ind w:firstLine="562"/>
        <w:jc w:val="center"/>
        <w:rPr>
          <w:rFonts w:hint="eastAsia" w:ascii="宋体" w:hAnsi="宋体"/>
          <w:w w:val="99"/>
          <w:kern w:val="0"/>
          <w:sz w:val="32"/>
          <w:szCs w:val="32"/>
        </w:rPr>
        <w:sectPr>
          <w:headerReference r:id="rId3" w:type="default"/>
          <w:pgSz w:w="11907" w:h="16840"/>
          <w:pgMar w:top="1304" w:right="1134" w:bottom="1304" w:left="1304" w:header="851" w:footer="992" w:gutter="0"/>
          <w:pgNumType w:fmt="numberInDash" w:start="1"/>
          <w:cols w:space="720" w:num="1"/>
          <w:docGrid w:linePitch="312" w:charSpace="0"/>
        </w:sectPr>
      </w:pPr>
      <w:r>
        <w:rPr>
          <w:rFonts w:ascii="宋体" w:hAnsi="宋体"/>
          <w:b/>
          <w:sz w:val="32"/>
          <w:szCs w:val="32"/>
        </w:rPr>
        <w:t>二〇二</w:t>
      </w:r>
      <w:r>
        <w:rPr>
          <w:rFonts w:hint="eastAsia" w:ascii="宋体" w:hAnsi="宋体"/>
          <w:b/>
          <w:sz w:val="32"/>
          <w:szCs w:val="32"/>
          <w:lang w:eastAsia="zh-CN"/>
        </w:rPr>
        <w:t>三</w:t>
      </w:r>
      <w:r>
        <w:rPr>
          <w:rFonts w:ascii="宋体" w:hAnsi="宋体"/>
          <w:b/>
          <w:sz w:val="32"/>
          <w:szCs w:val="32"/>
        </w:rPr>
        <w:t>年</w:t>
      </w:r>
      <w:r>
        <w:rPr>
          <w:rFonts w:hint="eastAsia" w:ascii="宋体" w:hAnsi="宋体"/>
          <w:b/>
          <w:sz w:val="32"/>
          <w:szCs w:val="32"/>
          <w:lang w:eastAsia="zh-CN"/>
        </w:rPr>
        <w:t>五</w:t>
      </w:r>
      <w:r>
        <w:rPr>
          <w:rFonts w:ascii="宋体" w:hAnsi="宋体"/>
          <w:b/>
          <w:sz w:val="32"/>
          <w:szCs w:val="32"/>
        </w:rPr>
        <w:t>月</w:t>
      </w:r>
    </w:p>
    <w:p>
      <w:pPr>
        <w:pStyle w:val="4"/>
        <w:jc w:val="center"/>
        <w:rPr>
          <w:rFonts w:ascii="宋体" w:hAnsi="宋体" w:eastAsia="宋体"/>
          <w:sz w:val="48"/>
          <w:szCs w:val="48"/>
        </w:rPr>
      </w:pPr>
      <w:bookmarkStart w:id="1" w:name="_Toc200359426"/>
      <w:bookmarkStart w:id="2" w:name="_Toc200359237"/>
      <w:bookmarkStart w:id="3" w:name="_Toc224103298"/>
      <w:bookmarkStart w:id="4" w:name="_Toc460241888"/>
      <w:r>
        <w:rPr>
          <w:rFonts w:hint="eastAsia" w:ascii="宋体" w:hAnsi="宋体" w:eastAsia="宋体"/>
          <w:sz w:val="48"/>
          <w:szCs w:val="48"/>
        </w:rPr>
        <w:t xml:space="preserve">第一章  </w:t>
      </w:r>
      <w:bookmarkEnd w:id="1"/>
      <w:bookmarkEnd w:id="2"/>
      <w:bookmarkEnd w:id="3"/>
      <w:r>
        <w:rPr>
          <w:rFonts w:hint="eastAsia" w:ascii="宋体" w:hAnsi="宋体" w:eastAsia="宋体"/>
          <w:sz w:val="48"/>
          <w:szCs w:val="48"/>
        </w:rPr>
        <w:t>比选公告</w:t>
      </w:r>
      <w:bookmarkEnd w:id="4"/>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rPr>
        <w:t xml:space="preserve">  </w:t>
      </w:r>
      <w:r>
        <w:rPr>
          <w:rFonts w:hint="eastAsia" w:ascii="宋体" w:hAnsi="宋体"/>
          <w:b/>
          <w:snapToGrid w:val="0"/>
          <w:kern w:val="0"/>
          <w:sz w:val="28"/>
          <w:szCs w:val="28"/>
          <w:u w:val="single"/>
          <w:lang w:eastAsia="zh-CN"/>
        </w:rPr>
        <w:t>共享工投公司2023年度短期融资券主承销商选聘</w:t>
      </w:r>
      <w:r>
        <w:rPr>
          <w:rFonts w:hint="eastAsia" w:ascii="宋体" w:hAnsi="宋体"/>
          <w:b/>
          <w:snapToGrid w:val="0"/>
          <w:kern w:val="0"/>
          <w:sz w:val="28"/>
          <w:szCs w:val="28"/>
        </w:rPr>
        <w:t>项目</w:t>
      </w:r>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rPr>
        <w:t>比选公告</w:t>
      </w:r>
    </w:p>
    <w:p>
      <w:pPr>
        <w:pStyle w:val="5"/>
        <w:spacing w:before="0" w:line="320" w:lineRule="exact"/>
        <w:ind w:firstLine="422" w:firstLineChars="200"/>
        <w:jc w:val="both"/>
        <w:rPr>
          <w:rFonts w:ascii="宋体" w:hAnsi="宋体" w:eastAsia="宋体"/>
          <w:snapToGrid w:val="0"/>
          <w:sz w:val="21"/>
          <w:szCs w:val="21"/>
        </w:rPr>
      </w:pPr>
      <w:bookmarkStart w:id="5" w:name="_Toc212871819"/>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cs="宋体"/>
          <w:b w:val="0"/>
          <w:bCs/>
          <w:sz w:val="21"/>
          <w:szCs w:val="21"/>
        </w:rPr>
      </w:pPr>
      <w:bookmarkStart w:id="6" w:name="_Toc460241889"/>
      <w:bookmarkStart w:id="7" w:name="_Toc39971333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keepNext w:val="0"/>
        <w:keepLines w:val="0"/>
        <w:pageBreakBefore w:val="0"/>
        <w:widowControl/>
        <w:kinsoku/>
        <w:wordWrap/>
        <w:overflowPunct/>
        <w:topLinePunct w:val="0"/>
        <w:bidi w:val="0"/>
        <w:snapToGrid w:val="0"/>
        <w:spacing w:line="440" w:lineRule="exact"/>
        <w:ind w:firstLine="420" w:firstLineChars="200"/>
        <w:jc w:val="left"/>
        <w:textAlignment w:val="auto"/>
        <w:rPr>
          <w:rFonts w:hint="eastAsia" w:ascii="宋体" w:hAnsi="宋体" w:cs="宋体"/>
          <w:kern w:val="0"/>
          <w:szCs w:val="21"/>
        </w:rPr>
      </w:pPr>
      <w:bookmarkStart w:id="8" w:name="_Toc460241890"/>
      <w:bookmarkStart w:id="9" w:name="_Toc399713340"/>
      <w:bookmarkStart w:id="10" w:name="_Toc214434226"/>
      <w:r>
        <w:rPr>
          <w:rFonts w:hint="eastAsia" w:ascii="宋体" w:hAnsi="宋体" w:cs="宋体"/>
          <w:kern w:val="0"/>
          <w:szCs w:val="21"/>
        </w:rPr>
        <w:t>本比选项目</w:t>
      </w:r>
      <w:r>
        <w:rPr>
          <w:rFonts w:hint="eastAsia" w:ascii="宋体" w:hAnsi="宋体" w:cs="宋体"/>
          <w:kern w:val="0"/>
          <w:szCs w:val="21"/>
          <w:u w:val="single"/>
          <w:lang w:eastAsia="zh-CN"/>
        </w:rPr>
        <w:t>共享工投公司2023年度短期融资券主承销商选聘</w:t>
      </w:r>
      <w:r>
        <w:rPr>
          <w:rFonts w:hint="eastAsia" w:ascii="宋体" w:hAnsi="宋体" w:cs="宋体"/>
          <w:kern w:val="0"/>
          <w:szCs w:val="21"/>
          <w:u w:val="single"/>
          <w:lang w:val="en-US" w:eastAsia="zh-CN"/>
        </w:rPr>
        <w:t>项目</w:t>
      </w:r>
      <w:r>
        <w:rPr>
          <w:rFonts w:hint="eastAsia" w:ascii="宋体" w:hAnsi="宋体" w:cs="宋体"/>
          <w:kern w:val="0"/>
          <w:szCs w:val="21"/>
          <w:lang w:eastAsia="zh-CN"/>
        </w:rPr>
        <w:t>，</w:t>
      </w:r>
      <w:r>
        <w:rPr>
          <w:rFonts w:hint="eastAsia" w:ascii="宋体" w:hAnsi="宋体" w:cs="宋体"/>
          <w:kern w:val="0"/>
          <w:szCs w:val="21"/>
        </w:rPr>
        <w:t>比选人为</w:t>
      </w:r>
      <w:r>
        <w:rPr>
          <w:rFonts w:hint="eastAsia" w:ascii="宋体" w:hAnsi="宋体" w:cs="宋体"/>
          <w:kern w:val="0"/>
          <w:szCs w:val="21"/>
          <w:u w:val="single"/>
        </w:rPr>
        <w:t>重庆共享工业投资有限公司</w:t>
      </w:r>
      <w:r>
        <w:rPr>
          <w:rFonts w:hint="eastAsia" w:ascii="宋体" w:hAnsi="宋体" w:cs="宋体"/>
          <w:kern w:val="0"/>
          <w:szCs w:val="21"/>
          <w:lang w:eastAsia="zh-CN"/>
        </w:rPr>
        <w:t>，</w:t>
      </w:r>
      <w:r>
        <w:rPr>
          <w:rFonts w:hint="eastAsia" w:ascii="宋体" w:hAnsi="宋体" w:cs="宋体"/>
          <w:kern w:val="0"/>
          <w:szCs w:val="21"/>
        </w:rPr>
        <w:t>项目已具备比选条件，现诚邀符合条件的机构按比选公告及比选文件的要求参加本次比选。</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1</w:t>
      </w:r>
      <w:r>
        <w:rPr>
          <w:rFonts w:hint="eastAsia" w:ascii="宋体" w:hAnsi="宋体" w:cs="宋体"/>
          <w:kern w:val="0"/>
          <w:szCs w:val="21"/>
        </w:rPr>
        <w:t xml:space="preserve"> 项目概况：</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lang w:val="en-US" w:eastAsia="zh-CN"/>
        </w:rPr>
        <w:t xml:space="preserve">2.1.1 </w:t>
      </w:r>
      <w:r>
        <w:rPr>
          <w:rFonts w:hint="eastAsia" w:ascii="宋体" w:hAnsi="宋体" w:cs="宋体"/>
          <w:kern w:val="0"/>
          <w:szCs w:val="21"/>
        </w:rPr>
        <w:t>项目名称：</w:t>
      </w:r>
      <w:r>
        <w:rPr>
          <w:rFonts w:hint="eastAsia" w:ascii="宋体" w:hAnsi="宋体" w:cs="宋体"/>
          <w:kern w:val="0"/>
          <w:szCs w:val="21"/>
          <w:lang w:eastAsia="zh-CN"/>
        </w:rPr>
        <w:t>共享工投公司2023年度短期融资券主承销商选聘</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2.1.2 发行主体：重庆共享工业投资有限公司</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2.1.3 债券品种：短期融资券</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 xml:space="preserve">.1.4 </w:t>
      </w:r>
      <w:r>
        <w:rPr>
          <w:rFonts w:hint="eastAsia" w:ascii="宋体" w:hAnsi="宋体" w:cs="宋体"/>
          <w:kern w:val="0"/>
          <w:szCs w:val="21"/>
        </w:rPr>
        <w:t>发行规模：</w:t>
      </w:r>
      <w:r>
        <w:rPr>
          <w:rFonts w:hint="eastAsia" w:ascii="宋体" w:hAnsi="宋体" w:cs="宋体"/>
          <w:kern w:val="0"/>
          <w:szCs w:val="21"/>
          <w:lang w:eastAsia="zh-CN"/>
        </w:rPr>
        <w:t>拟发行不超过</w:t>
      </w:r>
      <w:r>
        <w:rPr>
          <w:rFonts w:hint="eastAsia" w:ascii="宋体" w:hAnsi="宋体" w:cs="宋体"/>
          <w:kern w:val="0"/>
          <w:szCs w:val="21"/>
        </w:rPr>
        <w:t>人民币</w:t>
      </w:r>
      <w:r>
        <w:rPr>
          <w:rFonts w:hint="default" w:ascii="宋体" w:hAnsi="宋体" w:cs="宋体"/>
          <w:kern w:val="0"/>
          <w:szCs w:val="21"/>
          <w:lang w:eastAsia="zh-CN"/>
        </w:rPr>
        <w:t>20</w:t>
      </w:r>
      <w:r>
        <w:rPr>
          <w:rFonts w:hint="eastAsia" w:ascii="宋体" w:hAnsi="宋体" w:cs="宋体"/>
          <w:kern w:val="0"/>
          <w:szCs w:val="21"/>
          <w:lang w:eastAsia="zh-CN"/>
        </w:rPr>
        <w:t>亿元（含</w:t>
      </w:r>
      <w:r>
        <w:rPr>
          <w:rFonts w:hint="default" w:ascii="宋体" w:hAnsi="宋体" w:cs="宋体"/>
          <w:kern w:val="0"/>
          <w:szCs w:val="21"/>
          <w:lang w:eastAsia="zh-CN"/>
        </w:rPr>
        <w:t>20</w:t>
      </w:r>
      <w:r>
        <w:rPr>
          <w:rFonts w:hint="eastAsia" w:ascii="宋体" w:hAnsi="宋体" w:cs="宋体"/>
          <w:kern w:val="0"/>
          <w:szCs w:val="21"/>
          <w:lang w:eastAsia="zh-CN"/>
        </w:rPr>
        <w:t>亿元）</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1.5</w:t>
      </w:r>
      <w:r>
        <w:rPr>
          <w:rFonts w:hint="eastAsia" w:ascii="宋体" w:hAnsi="宋体" w:cs="宋体"/>
          <w:kern w:val="0"/>
          <w:szCs w:val="21"/>
        </w:rPr>
        <w:t xml:space="preserve"> 期限结构</w:t>
      </w:r>
      <w:r>
        <w:rPr>
          <w:rFonts w:hint="eastAsia" w:ascii="宋体" w:hAnsi="宋体" w:cs="宋体"/>
          <w:kern w:val="0"/>
          <w:szCs w:val="21"/>
          <w:lang w:val="en-US" w:eastAsia="zh-CN"/>
        </w:rPr>
        <w:t>：不超过</w:t>
      </w:r>
      <w:r>
        <w:rPr>
          <w:rFonts w:hint="default" w:ascii="宋体" w:hAnsi="宋体" w:cs="宋体"/>
          <w:kern w:val="0"/>
          <w:szCs w:val="21"/>
          <w:lang w:val="en-US" w:eastAsia="zh-CN"/>
        </w:rPr>
        <w:t>1</w:t>
      </w:r>
      <w:r>
        <w:rPr>
          <w:rFonts w:hint="eastAsia" w:ascii="宋体" w:hAnsi="宋体" w:cs="宋体"/>
          <w:kern w:val="0"/>
          <w:szCs w:val="21"/>
          <w:lang w:val="en-US" w:eastAsia="zh-Hans"/>
        </w:rPr>
        <w:t>年</w:t>
      </w:r>
      <w:r>
        <w:rPr>
          <w:rFonts w:hint="eastAsia" w:ascii="宋体" w:hAnsi="宋体" w:cs="宋体"/>
          <w:kern w:val="0"/>
          <w:szCs w:val="21"/>
          <w:lang w:val="en-US" w:eastAsia="zh-CN"/>
        </w:rPr>
        <w:t>（含</w:t>
      </w:r>
      <w:r>
        <w:rPr>
          <w:rFonts w:hint="default" w:ascii="宋体" w:hAnsi="宋体" w:cs="宋体"/>
          <w:kern w:val="0"/>
          <w:szCs w:val="21"/>
          <w:lang w:val="en-US" w:eastAsia="zh-CN"/>
        </w:rPr>
        <w:t>1</w:t>
      </w:r>
      <w:r>
        <w:rPr>
          <w:rFonts w:hint="eastAsia" w:ascii="宋体" w:hAnsi="宋体" w:cs="宋体"/>
          <w:kern w:val="0"/>
          <w:szCs w:val="21"/>
          <w:lang w:val="en-US" w:eastAsia="zh-Hans"/>
        </w:rPr>
        <w:t>年</w:t>
      </w:r>
      <w:r>
        <w:rPr>
          <w:rFonts w:hint="eastAsia" w:ascii="宋体" w:hAnsi="宋体" w:cs="宋体"/>
          <w:kern w:val="0"/>
          <w:szCs w:val="21"/>
          <w:lang w:val="en-US" w:eastAsia="zh-CN"/>
        </w:rPr>
        <w:t>）</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1.6</w:t>
      </w:r>
      <w:r>
        <w:rPr>
          <w:rFonts w:hint="eastAsia" w:ascii="宋体" w:hAnsi="宋体" w:cs="宋体"/>
          <w:kern w:val="0"/>
          <w:szCs w:val="21"/>
        </w:rPr>
        <w:t xml:space="preserve"> 承销方式：余额包销</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1.7</w:t>
      </w:r>
      <w:r>
        <w:rPr>
          <w:rFonts w:hint="eastAsia" w:ascii="宋体" w:hAnsi="宋体" w:cs="宋体"/>
          <w:kern w:val="0"/>
          <w:szCs w:val="21"/>
        </w:rPr>
        <w:t>募集资金用途：拟用于偿还公司有息负债</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 xml:space="preserve"> 招标范围：</w:t>
      </w:r>
      <w:r>
        <w:rPr>
          <w:rFonts w:hint="eastAsia" w:ascii="宋体" w:hAnsi="宋体" w:cs="宋体"/>
          <w:kern w:val="0"/>
          <w:szCs w:val="21"/>
          <w:lang w:val="en-US" w:eastAsia="zh-CN"/>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1" w:name="_Toc399713341"/>
      <w:bookmarkStart w:id="12" w:name="_Toc460241891"/>
      <w:r>
        <w:rPr>
          <w:rFonts w:hint="eastAsia" w:ascii="宋体" w:hAnsi="宋体" w:eastAsia="宋体"/>
          <w:snapToGrid w:val="0"/>
          <w:sz w:val="21"/>
          <w:szCs w:val="21"/>
        </w:rPr>
        <w:t>3.投标人资格要求</w:t>
      </w:r>
      <w:bookmarkEnd w:id="11"/>
      <w:bookmarkEnd w:id="12"/>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宋体"/>
          <w:kern w:val="0"/>
          <w:szCs w:val="21"/>
        </w:rPr>
      </w:pPr>
      <w:bookmarkStart w:id="13" w:name="_Toc399713342"/>
      <w:r>
        <w:rPr>
          <w:rFonts w:hint="eastAsia" w:ascii="宋体" w:hAnsi="宋体" w:cs="宋体"/>
          <w:kern w:val="0"/>
          <w:szCs w:val="21"/>
        </w:rPr>
        <w:t>3.1本次招标实行资格后审，投标人应满足下列资格条件和业绩要求：</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3.1.1投标人须为在中国境内注册并具有独立法人资格和承担民事责任能力的机构。</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cs="Times New Roman"/>
          <w:snapToGrid w:val="0"/>
          <w:szCs w:val="21"/>
          <w:highlight w:val="none"/>
        </w:rPr>
      </w:pPr>
      <w:r>
        <w:rPr>
          <w:rFonts w:hint="eastAsia" w:ascii="宋体" w:hAnsi="宋体" w:cs="宋体"/>
          <w:kern w:val="0"/>
          <w:szCs w:val="21"/>
          <w:highlight w:val="none"/>
        </w:rPr>
        <w:t>3.1.2本次招标要求投标人须具备</w:t>
      </w:r>
      <w:r>
        <w:rPr>
          <w:rFonts w:hint="eastAsia" w:ascii="宋体" w:hAnsi="宋体" w:cs="Times New Roman"/>
          <w:snapToGrid w:val="0"/>
          <w:szCs w:val="21"/>
          <w:highlight w:val="none"/>
        </w:rPr>
        <w:t>非金融企业债务融资工具A类主承销商资格。</w:t>
      </w:r>
    </w:p>
    <w:p>
      <w:pPr>
        <w:tabs>
          <w:tab w:val="left" w:pos="1580"/>
          <w:tab w:val="left" w:pos="6000"/>
          <w:tab w:val="left" w:pos="6320"/>
          <w:tab w:val="left" w:pos="6887"/>
        </w:tabs>
        <w:snapToGrid w:val="0"/>
        <w:spacing w:line="440" w:lineRule="exact"/>
        <w:ind w:firstLine="420" w:firstLineChars="200"/>
        <w:rPr>
          <w:rFonts w:hint="eastAsia" w:ascii="宋体" w:hAnsi="宋体"/>
          <w:snapToGrid w:val="0"/>
          <w:szCs w:val="21"/>
          <w:highlight w:val="none"/>
        </w:rPr>
      </w:pPr>
      <w:r>
        <w:rPr>
          <w:rFonts w:hint="eastAsia" w:ascii="宋体" w:hAnsi="宋体"/>
          <w:snapToGrid w:val="0"/>
          <w:szCs w:val="21"/>
          <w:highlight w:val="none"/>
        </w:rPr>
        <w:t>3.1.3</w:t>
      </w:r>
      <w:r>
        <w:rPr>
          <w:rFonts w:hint="eastAsia" w:ascii="宋体" w:hAnsi="宋体"/>
          <w:snapToGrid w:val="0"/>
          <w:szCs w:val="21"/>
          <w:highlight w:val="none"/>
          <w:lang w:val="en-US" w:eastAsia="zh-CN"/>
        </w:rPr>
        <w:t xml:space="preserve"> </w:t>
      </w:r>
      <w:r>
        <w:rPr>
          <w:rFonts w:hint="eastAsia" w:ascii="宋体" w:hAnsi="宋体"/>
          <w:snapToGrid w:val="0"/>
          <w:szCs w:val="21"/>
          <w:highlight w:val="none"/>
        </w:rPr>
        <w:t>近三年在经营活动中</w:t>
      </w:r>
      <w:r>
        <w:rPr>
          <w:rFonts w:hint="eastAsia" w:ascii="宋体" w:hAnsi="宋体"/>
          <w:snapToGrid w:val="0"/>
          <w:szCs w:val="21"/>
          <w:highlight w:val="none"/>
          <w:lang w:eastAsia="zh-CN"/>
        </w:rPr>
        <w:t>没有</w:t>
      </w:r>
      <w:r>
        <w:rPr>
          <w:rFonts w:hint="eastAsia" w:ascii="宋体" w:hAnsi="宋体"/>
          <w:snapToGrid w:val="0"/>
          <w:szCs w:val="21"/>
          <w:highlight w:val="none"/>
        </w:rPr>
        <w:t>重大违法记录或失信记录</w:t>
      </w:r>
      <w:r>
        <w:rPr>
          <w:rFonts w:hint="eastAsia" w:ascii="宋体" w:hAnsi="宋体"/>
          <w:snapToGrid w:val="0"/>
          <w:szCs w:val="21"/>
          <w:highlight w:val="none"/>
          <w:lang w:eastAsia="zh-CN"/>
        </w:rPr>
        <w:t>；没有</w:t>
      </w:r>
      <w:r>
        <w:rPr>
          <w:rFonts w:hint="eastAsia" w:ascii="宋体" w:hAnsi="宋体"/>
          <w:snapToGrid w:val="0"/>
          <w:szCs w:val="21"/>
          <w:highlight w:val="none"/>
        </w:rPr>
        <w:t>受到过</w:t>
      </w:r>
      <w:r>
        <w:rPr>
          <w:rFonts w:hint="eastAsia" w:ascii="宋体" w:hAnsi="宋体"/>
          <w:snapToGrid w:val="0"/>
          <w:szCs w:val="21"/>
          <w:highlight w:val="none"/>
          <w:lang w:eastAsia="zh-CN"/>
        </w:rPr>
        <w:t>监管部门</w:t>
      </w:r>
      <w:r>
        <w:rPr>
          <w:rFonts w:hint="eastAsia" w:ascii="宋体" w:hAnsi="宋体"/>
          <w:snapToGrid w:val="0"/>
          <w:szCs w:val="21"/>
          <w:highlight w:val="none"/>
        </w:rPr>
        <w:t>严重行政处罚并暂停债券发行相关业务。</w:t>
      </w:r>
    </w:p>
    <w:p>
      <w:pPr>
        <w:tabs>
          <w:tab w:val="left" w:pos="1580"/>
          <w:tab w:val="left" w:pos="6000"/>
          <w:tab w:val="left" w:pos="6320"/>
          <w:tab w:val="left" w:pos="6887"/>
        </w:tabs>
        <w:snapToGrid w:val="0"/>
        <w:spacing w:line="440" w:lineRule="exact"/>
        <w:ind w:firstLine="420" w:firstLineChars="200"/>
        <w:rPr>
          <w:rFonts w:hint="eastAsia" w:ascii="宋体" w:hAnsi="宋体" w:eastAsia="宋体" w:cs="Times New Roman"/>
          <w:b w:val="0"/>
          <w:snapToGrid w:val="0"/>
          <w:kern w:val="2"/>
          <w:sz w:val="21"/>
          <w:szCs w:val="21"/>
          <w:highlight w:val="none"/>
          <w:lang w:val="en-US" w:eastAsia="zh-CN"/>
        </w:rPr>
      </w:pPr>
      <w:r>
        <w:rPr>
          <w:rFonts w:hint="eastAsia" w:ascii="宋体" w:hAnsi="宋体" w:eastAsia="宋体" w:cs="Times New Roman"/>
          <w:b w:val="0"/>
          <w:snapToGrid w:val="0"/>
          <w:kern w:val="2"/>
          <w:sz w:val="21"/>
          <w:szCs w:val="21"/>
          <w:highlight w:val="none"/>
          <w:lang w:val="en-US" w:eastAsia="zh-CN"/>
        </w:rPr>
        <w:t>3.1.4 公司内部控制规范，财务报表未被注册会计师出具否定意见或者无法出具意见。</w:t>
      </w:r>
    </w:p>
    <w:p>
      <w:pPr>
        <w:tabs>
          <w:tab w:val="left" w:pos="1580"/>
          <w:tab w:val="left" w:pos="6000"/>
          <w:tab w:val="left" w:pos="6320"/>
          <w:tab w:val="left" w:pos="6887"/>
        </w:tabs>
        <w:snapToGrid w:val="0"/>
        <w:spacing w:line="440" w:lineRule="exact"/>
        <w:ind w:firstLine="420" w:firstLineChars="200"/>
        <w:rPr>
          <w:rFonts w:hint="eastAsia" w:ascii="宋体" w:hAnsi="宋体" w:eastAsia="宋体" w:cs="Times New Roman"/>
          <w:b w:val="0"/>
          <w:snapToGrid w:val="0"/>
          <w:kern w:val="2"/>
          <w:sz w:val="21"/>
          <w:szCs w:val="21"/>
          <w:highlight w:val="none"/>
          <w:lang w:val="en-US" w:eastAsia="zh-CN"/>
        </w:rPr>
      </w:pPr>
      <w:r>
        <w:rPr>
          <w:rFonts w:hint="eastAsia" w:ascii="宋体" w:hAnsi="宋体" w:eastAsia="宋体" w:cs="Times New Roman"/>
          <w:b w:val="0"/>
          <w:snapToGrid w:val="0"/>
          <w:kern w:val="2"/>
          <w:sz w:val="21"/>
          <w:szCs w:val="21"/>
          <w:highlight w:val="none"/>
          <w:lang w:val="en-US" w:eastAsia="zh-CN"/>
        </w:rPr>
        <w:t>3.1.</w:t>
      </w:r>
      <w:r>
        <w:rPr>
          <w:rFonts w:hint="eastAsia" w:ascii="宋体" w:hAnsi="宋体" w:cs="Times New Roman"/>
          <w:b w:val="0"/>
          <w:snapToGrid w:val="0"/>
          <w:kern w:val="2"/>
          <w:sz w:val="21"/>
          <w:szCs w:val="21"/>
          <w:highlight w:val="none"/>
          <w:lang w:val="en-US" w:eastAsia="zh-CN"/>
        </w:rPr>
        <w:t>5</w:t>
      </w:r>
      <w:r>
        <w:rPr>
          <w:rFonts w:hint="eastAsia" w:ascii="宋体" w:hAnsi="宋体" w:eastAsia="宋体" w:cs="Times New Roman"/>
          <w:b w:val="0"/>
          <w:snapToGrid w:val="0"/>
          <w:kern w:val="2"/>
          <w:sz w:val="21"/>
          <w:szCs w:val="21"/>
          <w:highlight w:val="none"/>
          <w:lang w:val="en-US" w:eastAsia="zh-CN"/>
        </w:rPr>
        <w:t xml:space="preserve"> </w:t>
      </w:r>
      <w:r>
        <w:rPr>
          <w:rFonts w:hint="eastAsia" w:ascii="宋体" w:hAnsi="宋体" w:cs="Times New Roman"/>
          <w:b w:val="0"/>
          <w:snapToGrid w:val="0"/>
          <w:kern w:val="2"/>
          <w:sz w:val="21"/>
          <w:szCs w:val="21"/>
          <w:highlight w:val="none"/>
          <w:lang w:val="en-US" w:eastAsia="zh-CN"/>
        </w:rPr>
        <w:t>未出现</w:t>
      </w:r>
      <w:r>
        <w:rPr>
          <w:rFonts w:hint="eastAsia" w:ascii="宋体" w:hAnsi="宋体" w:eastAsia="宋体" w:cs="Times New Roman"/>
          <w:b w:val="0"/>
          <w:snapToGrid w:val="0"/>
          <w:kern w:val="2"/>
          <w:sz w:val="21"/>
          <w:szCs w:val="21"/>
          <w:highlight w:val="none"/>
          <w:lang w:val="en-US" w:eastAsia="zh-CN"/>
        </w:rPr>
        <w:t>为争取业务向政府有关部门或国有企业非法进行利益输送</w:t>
      </w:r>
      <w:r>
        <w:rPr>
          <w:rFonts w:hint="eastAsia" w:ascii="宋体" w:hAnsi="宋体" w:cs="Times New Roman"/>
          <w:b w:val="0"/>
          <w:snapToGrid w:val="0"/>
          <w:kern w:val="2"/>
          <w:sz w:val="21"/>
          <w:szCs w:val="21"/>
          <w:highlight w:val="none"/>
          <w:lang w:val="en-US" w:eastAsia="zh-CN"/>
        </w:rPr>
        <w:t>或其他负面情形</w:t>
      </w:r>
      <w:r>
        <w:rPr>
          <w:rFonts w:hint="eastAsia" w:ascii="宋体" w:hAnsi="宋体" w:eastAsia="宋体" w:cs="Times New Roman"/>
          <w:b w:val="0"/>
          <w:snapToGrid w:val="0"/>
          <w:kern w:val="2"/>
          <w:sz w:val="21"/>
          <w:szCs w:val="21"/>
          <w:highlight w:val="none"/>
          <w:lang w:val="en-US" w:eastAsia="zh-CN"/>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snapToGrid w:val="0"/>
          <w:szCs w:val="21"/>
          <w:highlight w:val="none"/>
          <w:lang w:eastAsia="zh-CN"/>
        </w:rPr>
      </w:pPr>
      <w:r>
        <w:rPr>
          <w:rFonts w:hint="eastAsia" w:ascii="宋体" w:hAnsi="宋体"/>
          <w:snapToGrid w:val="0"/>
          <w:szCs w:val="21"/>
          <w:highlight w:val="none"/>
        </w:rPr>
        <w:t>3.1.</w:t>
      </w:r>
      <w:r>
        <w:rPr>
          <w:rFonts w:hint="eastAsia" w:ascii="宋体" w:hAnsi="宋体"/>
          <w:snapToGrid w:val="0"/>
          <w:szCs w:val="21"/>
          <w:highlight w:val="none"/>
          <w:lang w:val="en-US" w:eastAsia="zh-CN"/>
        </w:rPr>
        <w:t>6</w:t>
      </w:r>
      <w:r>
        <w:rPr>
          <w:rFonts w:hint="eastAsia" w:ascii="宋体" w:hAnsi="宋体"/>
          <w:snapToGrid w:val="0"/>
          <w:szCs w:val="21"/>
          <w:highlight w:val="none"/>
        </w:rPr>
        <w:t xml:space="preserve"> 具有履行业务所必须的专业技术能力和工作团队，有较强的承销实力和良好</w:t>
      </w:r>
      <w:r>
        <w:rPr>
          <w:rFonts w:hint="eastAsia" w:ascii="宋体" w:hAnsi="宋体"/>
          <w:snapToGrid w:val="0"/>
          <w:szCs w:val="21"/>
          <w:highlight w:val="none"/>
          <w:lang w:eastAsia="zh-CN"/>
        </w:rPr>
        <w:t>的</w:t>
      </w:r>
      <w:r>
        <w:rPr>
          <w:rFonts w:hint="eastAsia" w:ascii="宋体" w:hAnsi="宋体"/>
          <w:snapToGrid w:val="0"/>
          <w:szCs w:val="21"/>
          <w:highlight w:val="none"/>
        </w:rPr>
        <w:t>信誉</w:t>
      </w:r>
      <w:r>
        <w:rPr>
          <w:rFonts w:hint="eastAsia" w:ascii="宋体" w:hAnsi="宋体"/>
          <w:snapToGrid w:val="0"/>
          <w:szCs w:val="21"/>
          <w:highlight w:val="none"/>
          <w:lang w:eastAsia="zh-CN"/>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snapToGrid w:val="0"/>
          <w:szCs w:val="21"/>
          <w:highlight w:val="none"/>
        </w:rPr>
      </w:pPr>
      <w:r>
        <w:rPr>
          <w:rFonts w:hint="eastAsia" w:ascii="宋体" w:hAnsi="宋体"/>
          <w:snapToGrid w:val="0"/>
          <w:szCs w:val="21"/>
          <w:highlight w:val="none"/>
        </w:rPr>
        <w:t>3.2 本次</w:t>
      </w:r>
      <w:r>
        <w:rPr>
          <w:rFonts w:hint="eastAsia" w:ascii="宋体" w:hAnsi="宋体"/>
          <w:snapToGrid w:val="0"/>
          <w:szCs w:val="21"/>
          <w:highlight w:val="none"/>
          <w:lang w:eastAsia="zh-CN"/>
        </w:rPr>
        <w:t>投标</w:t>
      </w:r>
      <w:r>
        <w:rPr>
          <w:rFonts w:hint="eastAsia" w:ascii="宋体" w:hAnsi="宋体"/>
          <w:snapToGrid w:val="0"/>
          <w:szCs w:val="21"/>
          <w:highlight w:val="none"/>
        </w:rPr>
        <w:t>可采取单独或联合体的方式进行，采取联合体投标方式的联合体各方均应当具备承担招标项目的能力</w:t>
      </w:r>
      <w:r>
        <w:rPr>
          <w:rFonts w:hint="eastAsia" w:ascii="宋体" w:hAnsi="宋体"/>
          <w:snapToGrid w:val="0"/>
          <w:szCs w:val="21"/>
          <w:highlight w:val="none"/>
          <w:lang w:eastAsia="zh-CN"/>
        </w:rPr>
        <w:t>；</w:t>
      </w:r>
      <w:r>
        <w:rPr>
          <w:rFonts w:hint="eastAsia" w:ascii="宋体" w:hAnsi="宋体"/>
          <w:snapToGrid w:val="0"/>
          <w:szCs w:val="21"/>
          <w:highlight w:val="none"/>
        </w:rPr>
        <w:t>联合体各方均应当具备规定的相应资格条件。</w:t>
      </w:r>
      <w:r>
        <w:rPr>
          <w:rFonts w:hint="eastAsia" w:ascii="宋体" w:hAnsi="宋体"/>
          <w:snapToGrid w:val="0"/>
          <w:szCs w:val="21"/>
          <w:highlight w:val="none"/>
          <w:lang w:eastAsia="zh-CN"/>
        </w:rPr>
        <w:t>原则上联合体不超过</w:t>
      </w:r>
      <w:r>
        <w:rPr>
          <w:rFonts w:hint="eastAsia" w:ascii="宋体" w:hAnsi="宋体"/>
          <w:snapToGrid w:val="0"/>
          <w:szCs w:val="21"/>
          <w:highlight w:val="none"/>
          <w:lang w:val="en-US" w:eastAsia="zh-CN"/>
        </w:rPr>
        <w:t>2家机构</w:t>
      </w:r>
      <w:r>
        <w:rPr>
          <w:rFonts w:hint="eastAsia" w:ascii="宋体" w:hAnsi="宋体"/>
          <w:snapToGrid w:val="0"/>
          <w:szCs w:val="21"/>
          <w:highlight w:val="none"/>
        </w:rPr>
        <w:t>。</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firstLine="420" w:firstLineChars="200"/>
        <w:textAlignment w:val="auto"/>
        <w:rPr>
          <w:rFonts w:hint="eastAsia" w:ascii="宋体" w:hAnsi="宋体" w:cs="Times New Roman"/>
          <w:snapToGrid w:val="0"/>
          <w:szCs w:val="21"/>
          <w:highlight w:val="none"/>
        </w:rPr>
      </w:pPr>
      <w:r>
        <w:rPr>
          <w:rFonts w:hint="eastAsia" w:ascii="宋体" w:hAnsi="宋体" w:cs="Times New Roman"/>
          <w:snapToGrid w:val="0"/>
          <w:szCs w:val="21"/>
          <w:highlight w:val="none"/>
        </w:rPr>
        <w:t xml:space="preserve"> 3.</w:t>
      </w:r>
      <w:r>
        <w:rPr>
          <w:rFonts w:hint="eastAsia" w:ascii="宋体" w:hAnsi="宋体" w:cs="Times New Roman"/>
          <w:snapToGrid w:val="0"/>
          <w:szCs w:val="21"/>
          <w:highlight w:val="none"/>
          <w:lang w:val="en-US" w:eastAsia="zh-CN"/>
        </w:rPr>
        <w:t xml:space="preserve">3 </w:t>
      </w:r>
      <w:r>
        <w:rPr>
          <w:rFonts w:hint="eastAsia" w:ascii="宋体" w:hAnsi="宋体" w:cs="Times New Roman"/>
          <w:snapToGrid w:val="0"/>
          <w:szCs w:val="21"/>
          <w:highlight w:val="none"/>
        </w:rPr>
        <w:t>本次比选采用综合评估法，接受联合体的比选申请，联合体协议书与投标文件一并提供给比选人。</w:t>
      </w:r>
    </w:p>
    <w:p>
      <w:pPr>
        <w:pStyle w:val="5"/>
        <w:keepNext w:val="0"/>
        <w:keepLines w:val="0"/>
        <w:pageBreakBefore w:val="0"/>
        <w:kinsoku/>
        <w:wordWrap/>
        <w:overflowPunct/>
        <w:topLinePunct w:val="0"/>
        <w:bidi w:val="0"/>
        <w:spacing w:line="440" w:lineRule="exact"/>
        <w:ind w:firstLine="481"/>
        <w:textAlignment w:val="auto"/>
        <w:rPr>
          <w:rFonts w:hint="eastAsia" w:ascii="宋体" w:hAnsi="宋体" w:eastAsia="宋体" w:cs="Times New Roman"/>
          <w:b w:val="0"/>
          <w:snapToGrid w:val="0"/>
          <w:kern w:val="2"/>
          <w:sz w:val="21"/>
          <w:szCs w:val="21"/>
          <w:highlight w:val="none"/>
          <w:lang w:val="en-US" w:eastAsia="zh-CN" w:bidi="ar-SA"/>
        </w:rPr>
      </w:pPr>
      <w:r>
        <w:rPr>
          <w:rFonts w:hint="eastAsia" w:ascii="宋体" w:hAnsi="宋体" w:eastAsia="宋体" w:cs="Times New Roman"/>
          <w:b w:val="0"/>
          <w:snapToGrid w:val="0"/>
          <w:kern w:val="2"/>
          <w:sz w:val="21"/>
          <w:szCs w:val="21"/>
          <w:highlight w:val="none"/>
          <w:lang w:val="en-US" w:eastAsia="zh-CN" w:bidi="ar-SA"/>
        </w:rPr>
        <w:t>3.4 取得过我司与本次拟发行债券品种相同的债券承销资格，批文在有效期内暂未发行完毕的机构不具备本次投标资格。</w:t>
      </w:r>
    </w:p>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4" w:name="_Toc460241892"/>
      <w:r>
        <w:rPr>
          <w:rFonts w:hint="eastAsia" w:ascii="宋体" w:hAnsi="宋体" w:eastAsia="宋体"/>
          <w:snapToGrid w:val="0"/>
          <w:sz w:val="21"/>
          <w:szCs w:val="21"/>
        </w:rPr>
        <w:t>4.招标文件的获取</w:t>
      </w:r>
      <w:bookmarkEnd w:id="13"/>
      <w:bookmarkEnd w:id="14"/>
    </w:p>
    <w:p>
      <w:pPr>
        <w:keepNext w:val="0"/>
        <w:keepLines w:val="0"/>
        <w:pageBreakBefore w:val="0"/>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hint="eastAsia" w:ascii="宋体" w:hAnsi="宋体" w:eastAsia="宋体"/>
          <w:b/>
          <w:snapToGrid w:val="0"/>
          <w:color w:val="auto"/>
          <w:szCs w:val="21"/>
          <w:highlight w:val="none"/>
          <w:lang w:eastAsia="zh-CN"/>
        </w:rPr>
      </w:pPr>
      <w:bookmarkStart w:id="15" w:name="_Toc399713343"/>
      <w:r>
        <w:rPr>
          <w:rFonts w:hint="eastAsia" w:ascii="宋体" w:hAnsi="宋体"/>
          <w:snapToGrid w:val="0"/>
          <w:color w:val="auto"/>
          <w:szCs w:val="21"/>
          <w:highlight w:val="none"/>
        </w:rPr>
        <w:t>凡有意参加投标者，</w:t>
      </w:r>
      <w:r>
        <w:rPr>
          <w:rFonts w:hint="eastAsia" w:ascii="宋体" w:hAnsi="宋体" w:eastAsia="宋体" w:cs="MingLiU"/>
          <w:kern w:val="0"/>
          <w:sz w:val="21"/>
          <w:szCs w:val="21"/>
        </w:rPr>
        <w:t>请</w:t>
      </w:r>
      <w:r>
        <w:rPr>
          <w:rFonts w:hint="eastAsia" w:ascii="宋体" w:hAnsi="宋体" w:eastAsia="宋体" w:cs="MingLiU"/>
          <w:kern w:val="0"/>
          <w:sz w:val="21"/>
          <w:szCs w:val="21"/>
          <w:highlight w:val="none"/>
        </w:rPr>
        <w:t>于</w:t>
      </w:r>
      <w:r>
        <w:rPr>
          <w:rFonts w:hint="eastAsia" w:ascii="宋体" w:hAnsi="宋体" w:eastAsia="宋体" w:cs="MingLiU"/>
          <w:kern w:val="0"/>
          <w:sz w:val="21"/>
          <w:szCs w:val="21"/>
          <w:highlight w:val="none"/>
          <w:u w:val="single"/>
        </w:rPr>
        <w:t xml:space="preserve"> 20</w:t>
      </w:r>
      <w:r>
        <w:rPr>
          <w:rFonts w:hint="eastAsia" w:ascii="宋体" w:hAnsi="宋体" w:cs="MingLiU"/>
          <w:kern w:val="0"/>
          <w:sz w:val="21"/>
          <w:szCs w:val="21"/>
          <w:highlight w:val="none"/>
          <w:u w:val="single"/>
          <w:lang w:val="en-US" w:eastAsia="zh-CN"/>
        </w:rPr>
        <w:t xml:space="preserve">23 </w:t>
      </w:r>
      <w:r>
        <w:rPr>
          <w:rFonts w:hint="eastAsia" w:ascii="宋体" w:hAnsi="宋体" w:eastAsia="宋体" w:cs="MingLiU"/>
          <w:kern w:val="0"/>
          <w:sz w:val="21"/>
          <w:szCs w:val="21"/>
          <w:highlight w:val="none"/>
        </w:rPr>
        <w:t>年</w:t>
      </w:r>
      <w:r>
        <w:rPr>
          <w:rFonts w:hint="eastAsia" w:ascii="宋体" w:hAnsi="宋体" w:cs="MingLiU"/>
          <w:kern w:val="0"/>
          <w:sz w:val="21"/>
          <w:szCs w:val="21"/>
          <w:highlight w:val="none"/>
          <w:u w:val="single"/>
          <w:lang w:val="en-US" w:eastAsia="zh-CN"/>
        </w:rPr>
        <w:t xml:space="preserve"> 5 </w:t>
      </w:r>
      <w:r>
        <w:rPr>
          <w:rFonts w:hint="eastAsia" w:ascii="宋体" w:hAnsi="宋体" w:eastAsia="宋体" w:cs="MingLiU"/>
          <w:kern w:val="0"/>
          <w:sz w:val="21"/>
          <w:szCs w:val="21"/>
          <w:highlight w:val="none"/>
        </w:rPr>
        <w:t>月</w:t>
      </w:r>
      <w:r>
        <w:rPr>
          <w:rFonts w:hint="eastAsia" w:ascii="宋体" w:hAnsi="宋体" w:cs="MingLiU"/>
          <w:kern w:val="0"/>
          <w:sz w:val="21"/>
          <w:szCs w:val="21"/>
          <w:highlight w:val="none"/>
          <w:u w:val="single"/>
          <w:lang w:val="en-US" w:eastAsia="zh-CN"/>
        </w:rPr>
        <w:t xml:space="preserve"> 12 </w:t>
      </w:r>
      <w:r>
        <w:rPr>
          <w:rFonts w:hint="eastAsia" w:ascii="宋体" w:hAnsi="宋体" w:eastAsia="宋体" w:cs="MingLiU"/>
          <w:kern w:val="0"/>
          <w:sz w:val="21"/>
          <w:szCs w:val="21"/>
          <w:highlight w:val="none"/>
        </w:rPr>
        <w:t>日起，</w:t>
      </w:r>
      <w:r>
        <w:rPr>
          <w:rFonts w:hint="eastAsia" w:ascii="宋体" w:hAnsi="宋体" w:eastAsia="宋体" w:cs="MingLiU"/>
          <w:kern w:val="0"/>
          <w:sz w:val="21"/>
          <w:szCs w:val="21"/>
        </w:rPr>
        <w:t>（北京时间，下同），在重庆</w:t>
      </w:r>
      <w:r>
        <w:rPr>
          <w:rFonts w:hint="eastAsia" w:ascii="宋体" w:hAnsi="宋体" w:cs="MingLiU"/>
          <w:kern w:val="0"/>
          <w:sz w:val="21"/>
          <w:szCs w:val="21"/>
          <w:lang w:eastAsia="zh-CN"/>
        </w:rPr>
        <w:t>共享工业投资有限公司官网</w:t>
      </w:r>
      <w:r>
        <w:rPr>
          <w:rFonts w:hint="eastAsia" w:ascii="宋体" w:hAnsi="宋体" w:eastAsia="宋体" w:cs="MingLiU"/>
          <w:kern w:val="0"/>
          <w:sz w:val="21"/>
          <w:szCs w:val="21"/>
        </w:rPr>
        <w:t>（</w:t>
      </w:r>
      <w:r>
        <w:rPr>
          <w:rFonts w:hint="eastAsia" w:ascii="宋体" w:hAnsi="宋体"/>
          <w:snapToGrid w:val="0"/>
          <w:color w:val="auto"/>
          <w:szCs w:val="21"/>
          <w:highlight w:val="none"/>
          <w:lang w:eastAsia="zh-CN"/>
        </w:rPr>
        <w:t>http://www.cqgxgt.com/</w:t>
      </w:r>
      <w:r>
        <w:rPr>
          <w:rFonts w:hint="eastAsia" w:ascii="宋体" w:hAnsi="宋体" w:eastAsia="宋体" w:cs="MingLiU"/>
          <w:kern w:val="0"/>
          <w:sz w:val="21"/>
          <w:szCs w:val="21"/>
        </w:rPr>
        <w:t>）上“</w:t>
      </w:r>
      <w:r>
        <w:rPr>
          <w:rFonts w:hint="eastAsia" w:ascii="宋体" w:hAnsi="宋体" w:cs="MingLiU"/>
          <w:kern w:val="0"/>
          <w:sz w:val="21"/>
          <w:szCs w:val="21"/>
          <w:lang w:eastAsia="zh-CN"/>
        </w:rPr>
        <w:t>通知公告</w:t>
      </w:r>
      <w:r>
        <w:rPr>
          <w:rFonts w:hint="eastAsia" w:ascii="宋体" w:hAnsi="宋体" w:eastAsia="宋体" w:cs="MingLiU"/>
          <w:kern w:val="0"/>
          <w:sz w:val="21"/>
          <w:szCs w:val="21"/>
        </w:rPr>
        <w:t>”区及“</w:t>
      </w:r>
      <w:r>
        <w:rPr>
          <w:rFonts w:hint="eastAsia" w:ascii="宋体" w:hAnsi="宋体" w:cs="MingLiU"/>
          <w:kern w:val="0"/>
          <w:sz w:val="21"/>
          <w:szCs w:val="21"/>
          <w:lang w:eastAsia="zh-CN"/>
        </w:rPr>
        <w:t>招标公告区</w:t>
      </w:r>
      <w:r>
        <w:rPr>
          <w:rFonts w:hint="eastAsia" w:ascii="宋体" w:hAnsi="宋体" w:eastAsia="宋体" w:cs="MingLiU"/>
          <w:kern w:val="0"/>
          <w:sz w:val="21"/>
          <w:szCs w:val="21"/>
        </w:rPr>
        <w:t>”仔细阅读和下载：招标文件、澄清、修改、补充通知等全部内容。不管下载与否都视为潜在投标人全部知晓有关招投标过程和全部内容。</w:t>
      </w:r>
    </w:p>
    <w:bookmarkEnd w:id="15"/>
    <w:p>
      <w:pPr>
        <w:pStyle w:val="5"/>
        <w:keepNext w:val="0"/>
        <w:keepLines w:val="0"/>
        <w:pageBreakBefore w:val="0"/>
        <w:kinsoku/>
        <w:wordWrap/>
        <w:overflowPunct/>
        <w:topLinePunct w:val="0"/>
        <w:bidi w:val="0"/>
        <w:spacing w:before="0" w:line="440" w:lineRule="exact"/>
        <w:ind w:firstLine="422" w:firstLineChars="200"/>
        <w:jc w:val="both"/>
        <w:textAlignment w:val="auto"/>
        <w:rPr>
          <w:rFonts w:ascii="宋体" w:hAnsi="宋体" w:eastAsia="宋体"/>
          <w:snapToGrid w:val="0"/>
          <w:sz w:val="21"/>
          <w:szCs w:val="21"/>
        </w:rPr>
      </w:pPr>
      <w:bookmarkStart w:id="16" w:name="_Toc460241893"/>
      <w:r>
        <w:rPr>
          <w:rFonts w:hint="eastAsia" w:ascii="宋体" w:hAnsi="宋体" w:eastAsia="宋体"/>
          <w:snapToGrid w:val="0"/>
          <w:sz w:val="21"/>
          <w:szCs w:val="21"/>
        </w:rPr>
        <w:t>5.投标文件的递交</w:t>
      </w:r>
      <w:bookmarkEnd w:id="16"/>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ascii="宋体" w:hAnsi="宋体"/>
          <w:snapToGrid w:val="0"/>
          <w:color w:val="auto"/>
          <w:szCs w:val="21"/>
        </w:rPr>
      </w:pPr>
      <w:bookmarkStart w:id="17" w:name="_Toc399713344"/>
      <w:bookmarkStart w:id="18" w:name="_Toc306877510"/>
      <w:bookmarkStart w:id="19" w:name="_Toc347483465"/>
      <w:r>
        <w:rPr>
          <w:rFonts w:hint="eastAsia" w:ascii="宋体" w:hAnsi="宋体"/>
          <w:snapToGrid w:val="0"/>
          <w:color w:val="auto"/>
          <w:szCs w:val="21"/>
          <w:lang w:eastAsia="zh-CN"/>
        </w:rPr>
        <w:t>投标</w:t>
      </w:r>
      <w:r>
        <w:rPr>
          <w:rFonts w:hint="eastAsia" w:ascii="宋体" w:hAnsi="宋体"/>
          <w:snapToGrid w:val="0"/>
          <w:color w:val="auto"/>
          <w:szCs w:val="21"/>
        </w:rPr>
        <w:t>文件递交截止时间及开标时间以比选文件为准，地点为</w:t>
      </w:r>
      <w:r>
        <w:rPr>
          <w:rFonts w:hint="eastAsia" w:ascii="宋体" w:hAnsi="宋体"/>
          <w:snapToGrid w:val="0"/>
          <w:szCs w:val="21"/>
        </w:rPr>
        <w:t>重庆共享工业投资有限公司会议室</w:t>
      </w:r>
      <w:r>
        <w:rPr>
          <w:rFonts w:hint="eastAsia" w:ascii="宋体" w:hAnsi="宋体"/>
          <w:snapToGrid w:val="0"/>
          <w:color w:val="auto"/>
          <w:szCs w:val="21"/>
        </w:rPr>
        <w:t>。</w:t>
      </w:r>
    </w:p>
    <w:p>
      <w:pPr>
        <w:keepNext w:val="0"/>
        <w:keepLines w:val="0"/>
        <w:pageBreakBefore w:val="0"/>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rPr>
          <w:rFonts w:ascii="宋体" w:hAnsi="宋体" w:cs="MingLiU"/>
          <w:snapToGrid w:val="0"/>
          <w:kern w:val="0"/>
        </w:rPr>
      </w:pPr>
      <w:r>
        <w:rPr>
          <w:rFonts w:hint="eastAsia" w:ascii="宋体" w:hAnsi="宋体"/>
          <w:snapToGrid w:val="0"/>
          <w:color w:val="auto"/>
          <w:szCs w:val="21"/>
        </w:rPr>
        <w:t>逾期送达的或者未送达指定地点的比选申请文件，比选人不予受理。</w:t>
      </w:r>
    </w:p>
    <w:bookmarkEnd w:id="17"/>
    <w:bookmarkEnd w:id="18"/>
    <w:bookmarkEnd w:id="19"/>
    <w:p>
      <w:pPr>
        <w:pStyle w:val="4"/>
        <w:keepNext w:val="0"/>
        <w:keepLines w:val="0"/>
        <w:pageBreakBefore w:val="0"/>
        <w:kinsoku/>
        <w:wordWrap/>
        <w:overflowPunct/>
        <w:topLinePunct w:val="0"/>
        <w:bidi w:val="0"/>
        <w:spacing w:line="440" w:lineRule="exact"/>
        <w:ind w:firstLine="420" w:firstLineChars="200"/>
        <w:jc w:val="both"/>
        <w:textAlignment w:val="auto"/>
        <w:rPr>
          <w:rFonts w:ascii="宋体" w:hAnsi="宋体" w:eastAsia="宋体"/>
          <w:snapToGrid w:val="0"/>
          <w:sz w:val="21"/>
          <w:szCs w:val="21"/>
        </w:rPr>
      </w:pPr>
      <w:bookmarkStart w:id="20" w:name="_Toc460241895"/>
      <w:bookmarkStart w:id="21" w:name="_Toc399713348"/>
      <w:r>
        <w:rPr>
          <w:rFonts w:hint="eastAsia" w:ascii="宋体" w:hAnsi="宋体" w:eastAsia="宋体"/>
          <w:snapToGrid w:val="0"/>
          <w:sz w:val="21"/>
          <w:szCs w:val="21"/>
          <w:lang w:val="en-US" w:eastAsia="zh-CN"/>
        </w:rPr>
        <w:t>6</w:t>
      </w:r>
      <w:r>
        <w:rPr>
          <w:rFonts w:hint="eastAsia" w:ascii="宋体" w:hAnsi="宋体" w:eastAsia="宋体"/>
          <w:snapToGrid w:val="0"/>
          <w:sz w:val="21"/>
          <w:szCs w:val="21"/>
        </w:rPr>
        <w:t>.联系方式</w:t>
      </w:r>
      <w:bookmarkEnd w:id="20"/>
      <w:bookmarkEnd w:id="21"/>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招 标 人</w:t>
      </w:r>
      <w:r>
        <w:rPr>
          <w:rFonts w:hint="eastAsia" w:ascii="宋体" w:hAnsi="宋体" w:cs="宋体"/>
          <w:kern w:val="0"/>
          <w:szCs w:val="21"/>
          <w:lang w:eastAsia="zh-CN"/>
        </w:rPr>
        <w:t>：</w:t>
      </w:r>
      <w:r>
        <w:rPr>
          <w:rFonts w:hint="eastAsia" w:ascii="宋体" w:hAnsi="宋体" w:cs="宋体"/>
          <w:kern w:val="0"/>
          <w:szCs w:val="21"/>
        </w:rPr>
        <w:t>重庆共享工业投资有限公司</w:t>
      </w:r>
    </w:p>
    <w:p>
      <w:pPr>
        <w:keepNext w:val="0"/>
        <w:keepLines w:val="0"/>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40" w:lineRule="exact"/>
        <w:ind w:left="0" w:leftChars="0" w:right="0" w:rightChars="0" w:firstLine="420" w:firstLineChars="200"/>
        <w:textAlignment w:val="auto"/>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凤凰镇凤凰文化广场</w:t>
      </w:r>
    </w:p>
    <w:p>
      <w:pPr>
        <w:keepNext w:val="0"/>
        <w:keepLines w:val="0"/>
        <w:pageBreakBefore w:val="0"/>
        <w:kinsoku/>
        <w:wordWrap/>
        <w:overflowPunct/>
        <w:topLinePunct w:val="0"/>
        <w:bidi w:val="0"/>
        <w:spacing w:line="440" w:lineRule="exact"/>
        <w:ind w:firstLine="420" w:firstLineChars="200"/>
        <w:textAlignment w:val="auto"/>
        <w:rPr>
          <w:rFonts w:ascii="宋体" w:hAnsi="宋体" w:cs="宋体"/>
          <w:kern w:val="0"/>
          <w:szCs w:val="21"/>
        </w:rPr>
      </w:pPr>
      <w:r>
        <w:rPr>
          <w:rFonts w:hint="eastAsia" w:ascii="宋体" w:hAnsi="宋体" w:cs="宋体"/>
          <w:kern w:val="0"/>
          <w:szCs w:val="21"/>
        </w:rPr>
        <w:t>联 系 人：</w:t>
      </w:r>
      <w:r>
        <w:rPr>
          <w:rFonts w:hint="eastAsia" w:ascii="宋体" w:hAnsi="宋体" w:cs="宋体"/>
          <w:kern w:val="0"/>
          <w:szCs w:val="21"/>
          <w:lang w:eastAsia="zh-CN"/>
        </w:rPr>
        <w:t>谢强</w:t>
      </w:r>
      <w:r>
        <w:rPr>
          <w:rFonts w:hint="eastAsia" w:ascii="宋体" w:hAnsi="宋体" w:cs="宋体"/>
          <w:kern w:val="0"/>
          <w:szCs w:val="21"/>
        </w:rPr>
        <w:t>　</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023-81151921</w:t>
      </w:r>
    </w:p>
    <w:p>
      <w:pPr>
        <w:tabs>
          <w:tab w:val="left" w:pos="1080"/>
          <w:tab w:val="left" w:pos="1155"/>
        </w:tabs>
        <w:spacing w:line="320" w:lineRule="exact"/>
        <w:ind w:firstLine="420" w:firstLineChars="200"/>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Pr>
        <w:rPr>
          <w:rFonts w:ascii="宋体" w:hAnsi="宋体" w:cs="宋体"/>
          <w:kern w:val="0"/>
          <w:szCs w:val="21"/>
        </w:rPr>
      </w:pPr>
    </w:p>
    <w:p>
      <w:pPr>
        <w:pStyle w:val="5"/>
        <w:rPr>
          <w:rFonts w:ascii="宋体" w:hAnsi="宋体" w:cs="宋体"/>
          <w:kern w:val="0"/>
          <w:szCs w:val="21"/>
        </w:rPr>
      </w:pPr>
    </w:p>
    <w:p/>
    <w:p>
      <w:pPr>
        <w:pStyle w:val="5"/>
        <w:rPr>
          <w:rFonts w:ascii="宋体" w:hAnsi="宋体" w:cs="宋体"/>
          <w:kern w:val="0"/>
          <w:szCs w:val="21"/>
        </w:rPr>
      </w:pPr>
    </w:p>
    <w:p>
      <w:pPr>
        <w:pStyle w:val="4"/>
        <w:jc w:val="center"/>
        <w:rPr>
          <w:rFonts w:ascii="宋体" w:hAnsi="宋体" w:eastAsia="宋体"/>
          <w:sz w:val="48"/>
          <w:szCs w:val="48"/>
        </w:rPr>
      </w:pPr>
      <w:bookmarkStart w:id="22" w:name="_Toc460241896"/>
      <w:r>
        <w:rPr>
          <w:rFonts w:hint="eastAsia" w:ascii="宋体" w:hAnsi="宋体" w:eastAsia="宋体"/>
          <w:sz w:val="48"/>
          <w:szCs w:val="48"/>
        </w:rPr>
        <w:t>第二章 投标人须知</w:t>
      </w:r>
      <w:bookmarkEnd w:id="0"/>
      <w:bookmarkEnd w:id="22"/>
    </w:p>
    <w:tbl>
      <w:tblPr>
        <w:tblStyle w:val="2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3"/>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84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5811"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5811" w:type="dxa"/>
            <w:vAlign w:val="center"/>
          </w:tcPr>
          <w:p>
            <w:pPr>
              <w:keepNext w:val="0"/>
              <w:keepLines w:val="0"/>
              <w:pageBreakBefore w:val="0"/>
              <w:widowControl w:val="0"/>
              <w:kinsoku/>
              <w:wordWrap/>
              <w:overflowPunct/>
              <w:topLinePunct w:val="0"/>
              <w:bidi w:val="0"/>
              <w:spacing w:line="320" w:lineRule="exact"/>
              <w:textAlignment w:val="auto"/>
              <w:outlineLvl w:val="9"/>
              <w:rPr>
                <w:rFonts w:ascii="宋体" w:hAnsi="宋体" w:cs="宋体"/>
                <w:kern w:val="0"/>
                <w:szCs w:val="21"/>
              </w:rPr>
            </w:pPr>
            <w:r>
              <w:rPr>
                <w:rFonts w:hint="eastAsia" w:ascii="宋体" w:hAnsi="宋体" w:cs="宋体"/>
                <w:kern w:val="0"/>
                <w:szCs w:val="21"/>
              </w:rPr>
              <w:t>招 标 人：重庆共享工业投资有限公司</w:t>
            </w:r>
          </w:p>
          <w:p>
            <w:pPr>
              <w:keepNext w:val="0"/>
              <w:keepLines w:val="0"/>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20" w:lineRule="exact"/>
              <w:textAlignment w:val="auto"/>
              <w:outlineLvl w:val="9"/>
            </w:pPr>
            <w:r>
              <w:rPr>
                <w:rFonts w:hint="eastAsia" w:ascii="宋体" w:hAnsi="宋体" w:cs="宋体"/>
                <w:kern w:val="0"/>
                <w:szCs w:val="21"/>
              </w:rPr>
              <w:t>地    址：</w:t>
            </w:r>
            <w:r>
              <w:rPr>
                <w:rFonts w:hint="eastAsia" w:ascii="宋体" w:hAnsi="宋体"/>
                <w:szCs w:val="21"/>
              </w:rPr>
              <w:t>沙坪坝区凤凰镇</w:t>
            </w:r>
            <w:r>
              <w:rPr>
                <w:rFonts w:hint="eastAsia" w:ascii="宋体" w:hAnsi="宋体"/>
                <w:szCs w:val="21"/>
                <w:lang w:eastAsia="zh-CN"/>
              </w:rPr>
              <w:t>凤凰文化</w:t>
            </w:r>
            <w:r>
              <w:rPr>
                <w:rFonts w:hint="eastAsia" w:ascii="宋体" w:hAnsi="宋体"/>
                <w:szCs w:val="21"/>
              </w:rPr>
              <w:t>广场</w:t>
            </w:r>
          </w:p>
          <w:p>
            <w:pPr>
              <w:keepNext w:val="0"/>
              <w:keepLines w:val="0"/>
              <w:pageBreakBefore w:val="0"/>
              <w:widowControl w:val="0"/>
              <w:kinsoku/>
              <w:wordWrap/>
              <w:overflowPunct/>
              <w:topLinePunct w:val="0"/>
              <w:bidi w:val="0"/>
              <w:spacing w:line="320" w:lineRule="exact"/>
              <w:textAlignment w:val="auto"/>
              <w:outlineLvl w:val="9"/>
              <w:rPr>
                <w:rFonts w:hint="eastAsia" w:ascii="宋体" w:hAnsi="宋体" w:eastAsia="宋体" w:cs="宋体"/>
                <w:kern w:val="0"/>
                <w:szCs w:val="21"/>
                <w:lang w:eastAsia="zh-CN"/>
              </w:rPr>
            </w:pPr>
            <w:r>
              <w:rPr>
                <w:rFonts w:hint="eastAsia" w:ascii="宋体" w:hAnsi="宋体" w:cs="宋体"/>
                <w:kern w:val="0"/>
                <w:szCs w:val="21"/>
              </w:rPr>
              <w:t>联 系 人：</w:t>
            </w:r>
            <w:r>
              <w:rPr>
                <w:rFonts w:hint="eastAsia" w:ascii="宋体" w:hAnsi="宋体" w:cs="宋体"/>
                <w:kern w:val="0"/>
                <w:szCs w:val="21"/>
                <w:lang w:eastAsia="zh-CN"/>
              </w:rPr>
              <w:t>谢强</w:t>
            </w:r>
          </w:p>
          <w:p>
            <w:pPr>
              <w:keepNext w:val="0"/>
              <w:keepLines w:val="0"/>
              <w:pageBreakBefore w:val="0"/>
              <w:widowControl w:val="0"/>
              <w:tabs>
                <w:tab w:val="left" w:pos="540"/>
                <w:tab w:val="left" w:pos="1080"/>
                <w:tab w:val="left" w:pos="1155"/>
              </w:tabs>
              <w:kinsoku/>
              <w:wordWrap/>
              <w:overflowPunct/>
              <w:topLinePunct w:val="0"/>
              <w:bidi w:val="0"/>
              <w:spacing w:line="320" w:lineRule="exact"/>
              <w:textAlignment w:val="auto"/>
              <w:outlineLvl w:val="9"/>
              <w:rPr>
                <w:rFonts w:hint="eastAsia"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023-81151921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2</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5811" w:type="dxa"/>
            <w:vAlign w:val="center"/>
          </w:tcPr>
          <w:p>
            <w:pPr>
              <w:autoSpaceDE w:val="0"/>
              <w:autoSpaceDN w:val="0"/>
              <w:adjustRightInd w:val="0"/>
              <w:snapToGrid w:val="0"/>
              <w:spacing w:line="360" w:lineRule="exact"/>
              <w:jc w:val="left"/>
              <w:rPr>
                <w:rFonts w:hint="eastAsia" w:ascii="宋体" w:hAnsi="宋体" w:eastAsia="宋体" w:cs="宋体"/>
                <w:kern w:val="0"/>
                <w:szCs w:val="21"/>
                <w:lang w:eastAsia="zh-CN"/>
              </w:rPr>
            </w:pPr>
            <w:r>
              <w:rPr>
                <w:rFonts w:hint="eastAsia" w:ascii="宋体" w:hAnsi="宋体" w:cs="宋体"/>
                <w:kern w:val="0"/>
                <w:szCs w:val="21"/>
                <w:lang w:eastAsia="zh-CN"/>
              </w:rPr>
              <w:t>共享工投公司2023年度短期融资券主承销商选聘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3</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lang w:eastAsia="zh-CN"/>
              </w:rPr>
              <w:t>项目</w:t>
            </w:r>
            <w:r>
              <w:rPr>
                <w:rFonts w:hint="eastAsia" w:ascii="宋体" w:hAnsi="宋体" w:cs="宋体"/>
                <w:kern w:val="0"/>
                <w:szCs w:val="21"/>
              </w:rPr>
              <w:t>地点</w:t>
            </w:r>
          </w:p>
        </w:tc>
        <w:tc>
          <w:tcPr>
            <w:tcW w:w="5811" w:type="dxa"/>
            <w:vAlign w:val="center"/>
          </w:tcPr>
          <w:p>
            <w:pPr>
              <w:spacing w:line="360" w:lineRule="auto"/>
              <w:rPr>
                <w:rFonts w:hint="default" w:ascii="宋体" w:hAnsi="宋体" w:eastAsia="宋体" w:cs="宋体"/>
                <w:bCs/>
                <w:kern w:val="0"/>
                <w:szCs w:val="21"/>
                <w:lang w:val="en-US" w:eastAsia="zh-CN"/>
              </w:rPr>
            </w:pPr>
            <w:r>
              <w:rPr>
                <w:rFonts w:hint="eastAsia" w:ascii="宋体" w:hAnsi="宋体" w:cs="宋体"/>
                <w:kern w:val="0"/>
                <w:szCs w:val="21"/>
                <w:lang w:eastAsia="zh-CN"/>
              </w:rPr>
              <w:t>沙坪坝区凤凰镇凤凰文化广场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4</w:t>
            </w:r>
          </w:p>
        </w:tc>
        <w:tc>
          <w:tcPr>
            <w:tcW w:w="184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bCs/>
                <w:kern w:val="0"/>
                <w:szCs w:val="21"/>
                <w:lang w:eastAsia="zh-CN"/>
              </w:rPr>
              <w:t>项目概况</w:t>
            </w:r>
          </w:p>
        </w:tc>
        <w:tc>
          <w:tcPr>
            <w:tcW w:w="5811" w:type="dxa"/>
            <w:vAlign w:val="center"/>
          </w:tcPr>
          <w:p>
            <w:pPr>
              <w:spacing w:line="360" w:lineRule="auto"/>
              <w:ind w:firstLine="420" w:firstLineChars="200"/>
              <w:rPr>
                <w:rFonts w:hint="eastAsia" w:ascii="宋体" w:hAnsi="宋体" w:eastAsia="宋体" w:cs="宋体"/>
                <w:snapToGrid w:val="0"/>
                <w:szCs w:val="21"/>
                <w:lang w:eastAsia="zh-CN"/>
              </w:rPr>
            </w:pPr>
            <w:r>
              <w:rPr>
                <w:rFonts w:hint="eastAsia" w:ascii="宋体" w:hAnsi="宋体" w:cs="宋体"/>
                <w:kern w:val="0"/>
                <w:szCs w:val="21"/>
                <w:lang w:val="en-US" w:eastAsia="zh-CN"/>
              </w:rPr>
              <w:t>向中国银行间市场交易商协会申报并发行短期融资券</w:t>
            </w:r>
            <w:r>
              <w:rPr>
                <w:rFonts w:hint="eastAsia" w:ascii="宋体" w:hAnsi="宋体" w:cs="宋体"/>
                <w:kern w:val="0"/>
                <w:szCs w:val="21"/>
                <w:lang w:eastAsia="zh-CN"/>
              </w:rPr>
              <w:t>不超过</w:t>
            </w:r>
            <w:r>
              <w:rPr>
                <w:rFonts w:hint="eastAsia" w:ascii="宋体" w:hAnsi="宋体" w:cs="宋体"/>
                <w:kern w:val="0"/>
                <w:szCs w:val="21"/>
              </w:rPr>
              <w:t>人民币</w:t>
            </w:r>
            <w:r>
              <w:rPr>
                <w:rFonts w:hint="default" w:ascii="宋体" w:hAnsi="宋体" w:cs="宋体"/>
                <w:kern w:val="0"/>
                <w:szCs w:val="21"/>
                <w:lang w:eastAsia="zh-CN"/>
              </w:rPr>
              <w:t>20</w:t>
            </w:r>
            <w:r>
              <w:rPr>
                <w:rFonts w:hint="eastAsia" w:ascii="宋体" w:hAnsi="宋体" w:cs="宋体"/>
                <w:kern w:val="0"/>
                <w:szCs w:val="21"/>
                <w:lang w:eastAsia="zh-CN"/>
              </w:rPr>
              <w:t>亿元（含</w:t>
            </w:r>
            <w:r>
              <w:rPr>
                <w:rFonts w:hint="default" w:ascii="宋体" w:hAnsi="宋体" w:cs="宋体"/>
                <w:kern w:val="0"/>
                <w:szCs w:val="21"/>
                <w:lang w:eastAsia="zh-CN"/>
              </w:rPr>
              <w:t>20</w:t>
            </w:r>
            <w:r>
              <w:rPr>
                <w:rFonts w:hint="eastAsia" w:ascii="宋体" w:hAnsi="宋体" w:cs="宋体"/>
                <w:kern w:val="0"/>
                <w:szCs w:val="21"/>
                <w:lang w:eastAsia="zh-CN"/>
              </w:rPr>
              <w:t>亿元）</w:t>
            </w:r>
            <w:r>
              <w:rPr>
                <w:rFonts w:hint="eastAsia" w:ascii="宋体" w:hAnsi="宋体" w:cs="宋体"/>
                <w:kern w:val="0"/>
                <w:szCs w:val="21"/>
                <w:lang w:val="en-US" w:eastAsia="zh-CN"/>
              </w:rPr>
              <w:t>，期限不超过1年（含</w:t>
            </w:r>
            <w:r>
              <w:rPr>
                <w:rFonts w:hint="default" w:ascii="宋体" w:hAnsi="宋体" w:cs="宋体"/>
                <w:kern w:val="0"/>
                <w:szCs w:val="21"/>
                <w:lang w:val="en-US" w:eastAsia="zh-CN"/>
              </w:rPr>
              <w:t>1</w:t>
            </w:r>
            <w:r>
              <w:rPr>
                <w:rFonts w:hint="eastAsia" w:ascii="宋体" w:hAnsi="宋体" w:cs="宋体"/>
                <w:kern w:val="0"/>
                <w:szCs w:val="21"/>
                <w:lang w:val="en-US" w:eastAsia="zh-Hans"/>
              </w:rPr>
              <w:t>年</w:t>
            </w:r>
            <w:r>
              <w:rPr>
                <w:rFonts w:hint="eastAsia" w:ascii="宋体" w:hAnsi="宋体" w:cs="宋体"/>
                <w:kern w:val="0"/>
                <w:szCs w:val="21"/>
                <w:lang w:val="en-US" w:eastAsia="zh-CN"/>
              </w:rPr>
              <w:t>），本次拟申请发行债券所募集资金将用于偿还公司有息债务或补充流动资金。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2</w:t>
            </w:r>
          </w:p>
        </w:tc>
        <w:tc>
          <w:tcPr>
            <w:tcW w:w="1843"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5811" w:type="dxa"/>
            <w:vAlign w:val="center"/>
          </w:tcPr>
          <w:p>
            <w:pPr>
              <w:spacing w:line="400" w:lineRule="exact"/>
              <w:ind w:firstLine="420" w:firstLineChars="200"/>
              <w:rPr>
                <w:rFonts w:hint="eastAsia" w:ascii="宋体" w:hAnsi="宋体" w:eastAsia="宋体" w:cs="宋体"/>
                <w:szCs w:val="21"/>
                <w:lang w:eastAsia="zh-CN"/>
              </w:rPr>
            </w:pPr>
            <w:r>
              <w:rPr>
                <w:rFonts w:hint="eastAsia" w:ascii="宋体" w:hAnsi="宋体" w:cs="宋体"/>
                <w:kern w:val="0"/>
                <w:szCs w:val="21"/>
                <w:lang w:val="en-US" w:eastAsia="zh-CN"/>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hint="eastAsia" w:ascii="宋体" w:hAnsi="宋体" w:cs="宋体"/>
                <w:kern w:val="0"/>
                <w:szCs w:val="21"/>
              </w:rPr>
            </w:pPr>
            <w:r>
              <w:rPr>
                <w:rFonts w:hint="eastAsia" w:ascii="宋体" w:hAnsi="宋体" w:cs="宋体"/>
                <w:kern w:val="0"/>
                <w:szCs w:val="21"/>
                <w:lang w:val="en-US" w:eastAsia="zh-CN"/>
              </w:rPr>
              <w:t>1.3</w:t>
            </w:r>
          </w:p>
        </w:tc>
        <w:tc>
          <w:tcPr>
            <w:tcW w:w="1843" w:type="dxa"/>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szCs w:val="21"/>
              </w:rPr>
            </w:pPr>
            <w:r>
              <w:rPr>
                <w:rFonts w:hint="default" w:ascii="Times New Roman" w:hAnsi="Times New Roman" w:cs="Times New Roman"/>
                <w:color w:val="auto"/>
                <w:kern w:val="0"/>
                <w:szCs w:val="21"/>
              </w:rPr>
              <w:t>是否接受联合体投标</w:t>
            </w:r>
          </w:p>
        </w:tc>
        <w:tc>
          <w:tcPr>
            <w:tcW w:w="5811" w:type="dxa"/>
            <w:vAlign w:val="center"/>
          </w:tcPr>
          <w:p>
            <w:pPr>
              <w:spacing w:line="320" w:lineRule="exact"/>
              <w:rPr>
                <w:rFonts w:hint="eastAsia" w:ascii="宋体" w:hAnsi="宋体" w:cs="宋体"/>
                <w:kern w:val="0"/>
                <w:szCs w:val="21"/>
                <w:lang w:val="en-US" w:eastAsia="zh-CN"/>
              </w:rPr>
            </w:pPr>
            <w:r>
              <w:rPr>
                <w:rFonts w:hint="eastAsia" w:ascii="宋体" w:hAnsi="宋体" w:cs="宋体"/>
                <w:kern w:val="0"/>
                <w:szCs w:val="21"/>
                <w:highlight w:val="none"/>
                <w:lang w:val="en-US" w:eastAsia="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w:t>
            </w:r>
          </w:p>
        </w:tc>
        <w:tc>
          <w:tcPr>
            <w:tcW w:w="1843" w:type="dxa"/>
            <w:vAlign w:val="center"/>
          </w:tcPr>
          <w:p>
            <w:pPr>
              <w:snapToGrid w:val="0"/>
              <w:spacing w:line="360" w:lineRule="exact"/>
              <w:jc w:val="center"/>
              <w:rPr>
                <w:rFonts w:ascii="宋体" w:hAnsi="宋体" w:cs="宋体"/>
                <w:szCs w:val="21"/>
              </w:rPr>
            </w:pPr>
            <w:r>
              <w:rPr>
                <w:rFonts w:hint="eastAsia" w:ascii="宋体" w:hAnsi="宋体" w:cs="宋体"/>
                <w:szCs w:val="21"/>
                <w:highlight w:val="none"/>
              </w:rPr>
              <w:t>投标人资质条件、能力和信誉</w:t>
            </w:r>
          </w:p>
        </w:tc>
        <w:tc>
          <w:tcPr>
            <w:tcW w:w="581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outlineLvl w:val="9"/>
            </w:pPr>
            <w:r>
              <w:rPr>
                <w:rFonts w:hint="eastAsia"/>
              </w:rPr>
              <w:t>1</w:t>
            </w:r>
            <w:r>
              <w:rPr>
                <w:rFonts w:hint="eastAsia"/>
                <w:lang w:eastAsia="zh-CN"/>
              </w:rPr>
              <w:t>.</w:t>
            </w:r>
            <w:r>
              <w:rPr>
                <w:rFonts w:hint="eastAsia"/>
              </w:rPr>
              <w:t>营业执照：具有工商行政管理部门颁发的有效营业执照，并具有独立法人资格（须提供</w:t>
            </w:r>
            <w:r>
              <w:rPr>
                <w:rFonts w:hint="eastAsia"/>
                <w:lang w:val="en-US" w:eastAsia="zh-CN"/>
              </w:rPr>
              <w:t>最新</w:t>
            </w:r>
            <w:r>
              <w:rPr>
                <w:rFonts w:hint="eastAsia"/>
              </w:rPr>
              <w:t>的</w:t>
            </w:r>
            <w:r>
              <w:rPr>
                <w:rFonts w:hint="eastAsia"/>
                <w:lang w:val="en-US" w:eastAsia="zh-CN"/>
              </w:rPr>
              <w:t>有效</w:t>
            </w:r>
            <w:r>
              <w:rPr>
                <w:rFonts w:hint="eastAsia"/>
              </w:rPr>
              <w:t>营业执照副本复印件）。</w:t>
            </w:r>
          </w:p>
          <w:p>
            <w:pPr>
              <w:keepNext w:val="0"/>
              <w:keepLines w:val="0"/>
              <w:pageBreakBefore w:val="0"/>
              <w:widowControl w:val="0"/>
              <w:numPr>
                <w:ilvl w:val="0"/>
                <w:numId w:val="0"/>
              </w:numPr>
              <w:kinsoku/>
              <w:wordWrap/>
              <w:overflowPunct/>
              <w:topLinePunct w:val="0"/>
              <w:bidi w:val="0"/>
              <w:snapToGrid/>
              <w:spacing w:line="400" w:lineRule="exact"/>
              <w:ind w:firstLine="420" w:firstLineChars="200"/>
              <w:textAlignment w:val="auto"/>
              <w:outlineLvl w:val="9"/>
              <w:rPr>
                <w:rFonts w:hint="eastAsia"/>
              </w:rPr>
            </w:pPr>
            <w:r>
              <w:rPr>
                <w:rFonts w:hint="eastAsia"/>
                <w:lang w:val="en-US" w:eastAsia="zh-CN"/>
              </w:rPr>
              <w:t>2.</w:t>
            </w:r>
            <w:r>
              <w:rPr>
                <w:rFonts w:hint="eastAsia"/>
              </w:rPr>
              <w:t>资质条件：具备非金融企业债务融资工具A类主承销商资格</w:t>
            </w:r>
            <w:r>
              <w:rPr>
                <w:rFonts w:hint="eastAsia"/>
                <w:lang w:eastAsia="zh-CN"/>
              </w:rPr>
              <w:t>（须提供有效资质的复印件）</w:t>
            </w:r>
            <w:r>
              <w:rPr>
                <w:rFonts w:hint="eastAsia"/>
              </w:rPr>
              <w:t>。</w:t>
            </w:r>
          </w:p>
          <w:p>
            <w:pPr>
              <w:spacing w:line="440" w:lineRule="exact"/>
              <w:ind w:firstLine="422"/>
              <w:jc w:val="left"/>
              <w:rPr>
                <w:rFonts w:hint="eastAsia"/>
                <w:b/>
                <w:bCs/>
              </w:rPr>
            </w:pPr>
            <w:r>
              <w:rPr>
                <w:rFonts w:hint="eastAsia"/>
                <w:b/>
                <w:bCs/>
              </w:rPr>
              <w:t>注：联合体投标各方须在投标文件资格审查部分分别提供相应资质证明复印件。</w:t>
            </w:r>
          </w:p>
          <w:p>
            <w:pPr>
              <w:numPr>
                <w:ilvl w:val="0"/>
                <w:numId w:val="0"/>
              </w:numPr>
              <w:spacing w:line="440" w:lineRule="exact"/>
              <w:ind w:firstLine="420" w:firstLineChars="200"/>
              <w:jc w:val="left"/>
              <w:rPr>
                <w:rFonts w:hint="eastAsia"/>
                <w:lang w:val="en-US" w:eastAsia="zh-CN"/>
              </w:rPr>
            </w:pPr>
            <w:r>
              <w:rPr>
                <w:rFonts w:hint="eastAsia"/>
                <w:lang w:val="en-US" w:eastAsia="zh-CN"/>
              </w:rPr>
              <w:t>3.业绩证明文件：提供近两年至少1个主承销机构与本次拟发行债券品种相同的债券承销业绩证明，按总承销额和重庆地区承销额分列，内容包括但不限于债券名称、发行人所在省份、金额、期限、票面利率等，注明是否为联合主承销，发行人是否为城投类平台公司（wind数据）。</w:t>
            </w:r>
          </w:p>
          <w:p>
            <w:pPr>
              <w:numPr>
                <w:ilvl w:val="0"/>
                <w:numId w:val="0"/>
              </w:numPr>
              <w:spacing w:line="440" w:lineRule="exact"/>
              <w:ind w:firstLine="422" w:firstLineChars="200"/>
              <w:jc w:val="left"/>
              <w:rPr>
                <w:rFonts w:hint="eastAsia"/>
              </w:rPr>
            </w:pPr>
            <w:r>
              <w:rPr>
                <w:rFonts w:hint="eastAsia"/>
                <w:b/>
                <w:bCs/>
              </w:rPr>
              <w:t>注：联合体投标的，</w:t>
            </w:r>
            <w:r>
              <w:rPr>
                <w:rFonts w:hint="eastAsia"/>
                <w:b/>
                <w:bCs/>
                <w:lang w:eastAsia="zh-CN"/>
              </w:rPr>
              <w:t>以</w:t>
            </w:r>
            <w:r>
              <w:rPr>
                <w:rFonts w:hint="eastAsia"/>
                <w:b/>
                <w:bCs/>
              </w:rPr>
              <w:t>联合</w:t>
            </w:r>
            <w:r>
              <w:rPr>
                <w:rFonts w:hint="eastAsia"/>
                <w:b/>
                <w:bCs/>
                <w:lang w:eastAsia="zh-CN"/>
              </w:rPr>
              <w:t>体</w:t>
            </w:r>
            <w:r>
              <w:rPr>
                <w:rFonts w:hint="eastAsia"/>
                <w:b/>
                <w:bCs/>
              </w:rPr>
              <w:t>牵头</w:t>
            </w:r>
            <w:r>
              <w:rPr>
                <w:rFonts w:hint="eastAsia"/>
                <w:b/>
                <w:bCs/>
                <w:lang w:eastAsia="zh-CN"/>
              </w:rPr>
              <w:t>人业绩为准</w:t>
            </w:r>
            <w:r>
              <w:rPr>
                <w:rFonts w:hint="eastAsia"/>
                <w:b/>
                <w:bCs/>
              </w:rPr>
              <w:t>。</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lang w:val="en-US" w:eastAsia="zh-CN"/>
              </w:rPr>
            </w:pPr>
            <w:r>
              <w:rPr>
                <w:rFonts w:hint="eastAsia"/>
                <w:lang w:val="en-US" w:eastAsia="zh-CN"/>
              </w:rPr>
              <w:t>4.提供本次债券承销服务工作方案，至少包括发行工作时间安排、审批时间预计、发行利率预测分析、承销费及其他相关费用报价，债券包销方案及发行计划，投标人安排的本次债券发行团队构成，对后续服务的安排、承诺及支持程度。</w:t>
            </w:r>
          </w:p>
          <w:p>
            <w:pPr>
              <w:spacing w:line="440" w:lineRule="exact"/>
              <w:ind w:firstLine="422"/>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注：联合体投标的，</w:t>
            </w:r>
            <w:r>
              <w:rPr>
                <w:rFonts w:hint="eastAsia" w:ascii="宋体" w:hAnsi="宋体" w:cs="宋体"/>
                <w:b/>
                <w:kern w:val="0"/>
                <w:sz w:val="21"/>
                <w:szCs w:val="21"/>
                <w:highlight w:val="none"/>
                <w:lang w:eastAsia="zh-CN"/>
              </w:rPr>
              <w:t>工作方案</w:t>
            </w:r>
            <w:r>
              <w:rPr>
                <w:rFonts w:hint="eastAsia" w:ascii="宋体" w:hAnsi="宋体" w:eastAsia="宋体" w:cs="宋体"/>
                <w:b/>
                <w:kern w:val="0"/>
                <w:sz w:val="21"/>
                <w:szCs w:val="21"/>
                <w:highlight w:val="none"/>
              </w:rPr>
              <w:t>由联合体牵头人</w:t>
            </w:r>
            <w:r>
              <w:rPr>
                <w:rFonts w:hint="eastAsia" w:ascii="宋体" w:hAnsi="宋体" w:cs="宋体"/>
                <w:b/>
                <w:kern w:val="0"/>
                <w:sz w:val="21"/>
                <w:szCs w:val="21"/>
                <w:highlight w:val="none"/>
                <w:lang w:eastAsia="zh-CN"/>
              </w:rPr>
              <w:t>负责</w:t>
            </w:r>
            <w:r>
              <w:rPr>
                <w:rFonts w:hint="eastAsia" w:ascii="宋体" w:hAnsi="宋体" w:eastAsia="宋体" w:cs="宋体"/>
                <w:b/>
                <w:kern w:val="0"/>
                <w:sz w:val="21"/>
                <w:szCs w:val="21"/>
                <w:highlight w:val="none"/>
              </w:rPr>
              <w:t>提供。</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lang w:val="en-US" w:eastAsia="zh-CN"/>
              </w:rPr>
            </w:pPr>
            <w:r>
              <w:rPr>
                <w:rFonts w:hint="eastAsia"/>
                <w:lang w:val="en-US" w:eastAsia="zh-CN"/>
              </w:rPr>
              <w:t>5.提供不存在投标人资格要求中负面情形的说明。</w:t>
            </w:r>
          </w:p>
          <w:p>
            <w:pPr>
              <w:spacing w:line="440" w:lineRule="exact"/>
              <w:ind w:firstLine="422"/>
              <w:jc w:val="left"/>
              <w:rPr>
                <w:rFonts w:hint="default"/>
                <w:b/>
                <w:bCs/>
                <w:lang w:val="en-US" w:eastAsia="zh-CN"/>
              </w:rPr>
            </w:pPr>
            <w:r>
              <w:rPr>
                <w:rFonts w:hint="eastAsia"/>
                <w:b/>
                <w:bCs/>
              </w:rPr>
              <w:t>注：联合体各成员均不得存在</w:t>
            </w:r>
            <w:r>
              <w:rPr>
                <w:rFonts w:hint="eastAsia"/>
                <w:b/>
                <w:bCs/>
                <w:lang w:val="en-US" w:eastAsia="zh-CN"/>
              </w:rPr>
              <w:t>投标人资格要求中负面情形</w:t>
            </w:r>
            <w:r>
              <w:rPr>
                <w:rFonts w:hint="eastAsia"/>
                <w:b/>
                <w:bCs/>
              </w:rPr>
              <w:t>之一，并由联合体各成员作出书面承诺。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20" w:firstLineChars="200"/>
              <w:textAlignment w:val="auto"/>
              <w:outlineLvl w:val="9"/>
              <w:rPr>
                <w:rFonts w:hint="eastAsia" w:ascii="Times New Roman" w:hAnsi="Times New Roman" w:eastAsia="宋体" w:cs="Times New Roman"/>
                <w:b/>
                <w:bCs/>
                <w:kern w:val="2"/>
                <w:sz w:val="21"/>
                <w:szCs w:val="24"/>
                <w:lang w:val="en-US" w:eastAsia="zh-CN" w:bidi="ar-SA"/>
              </w:rPr>
            </w:pPr>
            <w:r>
              <w:rPr>
                <w:rFonts w:hint="eastAsia"/>
                <w:lang w:val="en-US" w:eastAsia="zh-CN"/>
              </w:rPr>
              <w:t>6.其他有利于投标人加分的印证材料。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22" w:firstLineChars="200"/>
              <w:textAlignment w:val="auto"/>
              <w:outlineLvl w:val="9"/>
              <w:rPr>
                <w:rFonts w:hint="eastAsia" w:ascii="Times New Roman" w:hAnsi="Times New Roman" w:eastAsia="宋体" w:cs="Times New Roman"/>
                <w:b/>
                <w:bCs/>
                <w:kern w:val="2"/>
                <w:sz w:val="21"/>
                <w:szCs w:val="24"/>
                <w:lang w:val="en-US" w:eastAsia="zh-CN" w:bidi="ar-SA"/>
              </w:rPr>
            </w:pPr>
            <w:r>
              <w:rPr>
                <w:rFonts w:hint="eastAsia" w:ascii="Times New Roman" w:hAnsi="Times New Roman" w:eastAsia="宋体" w:cs="Times New Roman"/>
                <w:b/>
                <w:bCs/>
                <w:kern w:val="2"/>
                <w:sz w:val="21"/>
                <w:szCs w:val="24"/>
                <w:lang w:val="en-US" w:eastAsia="zh-CN" w:bidi="ar-SA"/>
              </w:rPr>
              <w:t xml:space="preserve"> 注：联合体投标的，则由招标人根据印证材料加总联合体各成员相</w:t>
            </w:r>
            <w:r>
              <w:rPr>
                <w:rFonts w:hint="eastAsia" w:cs="Times New Roman"/>
                <w:b/>
                <w:bCs/>
                <w:kern w:val="2"/>
                <w:sz w:val="21"/>
                <w:szCs w:val="24"/>
                <w:lang w:val="en-US" w:eastAsia="zh-CN" w:bidi="ar-SA"/>
              </w:rPr>
              <w:t>关数据后计算</w:t>
            </w:r>
            <w:r>
              <w:rPr>
                <w:rFonts w:hint="eastAsia" w:ascii="Times New Roman" w:hAnsi="Times New Roman" w:eastAsia="宋体" w:cs="Times New Roman"/>
                <w:b/>
                <w:bCs/>
                <w:kern w:val="2"/>
                <w:sz w:val="21"/>
                <w:szCs w:val="24"/>
                <w:lang w:val="en-US" w:eastAsia="zh-CN" w:bidi="ar-SA"/>
              </w:rPr>
              <w:t>分数。</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outlineLvl w:val="9"/>
              <w:rPr>
                <w:rFonts w:hint="eastAsia"/>
                <w:lang w:val="en-US" w:eastAsia="zh-CN"/>
              </w:rPr>
            </w:pPr>
            <w:r>
              <w:rPr>
                <w:rFonts w:hint="eastAsia"/>
                <w:lang w:val="en-US" w:eastAsia="zh-CN"/>
              </w:rPr>
              <w:t>7.本次比选所提供的相关资料均应加盖企业公章，参选人须对所提供材料的真实有效性承担法律责任。</w:t>
            </w:r>
          </w:p>
          <w:p>
            <w:pPr>
              <w:spacing w:line="440" w:lineRule="exact"/>
              <w:ind w:firstLine="422"/>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注：若投标单位为联合体，</w:t>
            </w:r>
            <w:r>
              <w:rPr>
                <w:rFonts w:hint="eastAsia" w:ascii="宋体" w:hAnsi="宋体" w:cs="宋体"/>
                <w:b/>
                <w:kern w:val="0"/>
                <w:sz w:val="21"/>
                <w:szCs w:val="21"/>
                <w:highlight w:val="none"/>
                <w:lang w:eastAsia="zh-CN"/>
              </w:rPr>
              <w:t>除特别说明需牵头人提供的情形，其它材料须联合体成员分别盖章</w:t>
            </w:r>
            <w:r>
              <w:rPr>
                <w:rFonts w:hint="eastAsia" w:ascii="宋体" w:hAnsi="宋体" w:eastAsia="宋体" w:cs="宋体"/>
                <w:b/>
                <w:kern w:val="0"/>
                <w:sz w:val="21"/>
                <w:szCs w:val="21"/>
                <w:highlight w:val="none"/>
              </w:rPr>
              <w:t>。</w:t>
            </w:r>
          </w:p>
          <w:p>
            <w:pPr>
              <w:pStyle w:val="2"/>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5811" w:type="dxa"/>
            <w:vAlign w:val="center"/>
          </w:tcPr>
          <w:p>
            <w:pPr>
              <w:snapToGrid w:val="0"/>
              <w:spacing w:line="360" w:lineRule="exact"/>
              <w:rPr>
                <w:rFonts w:ascii="宋体" w:hAnsi="宋体" w:cs="宋体"/>
                <w:szCs w:val="21"/>
              </w:rPr>
            </w:pPr>
            <w:r>
              <w:rPr>
                <w:rFonts w:hint="eastAsia" w:ascii="宋体" w:hAnsi="宋体" w:cs="宋体"/>
                <w:szCs w:val="21"/>
              </w:rPr>
              <w:t>随</w:t>
            </w:r>
            <w:r>
              <w:rPr>
                <w:rFonts w:ascii="宋体" w:hAnsi="宋体" w:cs="宋体"/>
                <w:szCs w:val="21"/>
              </w:rPr>
              <w:t>招标文件一并发布的</w:t>
            </w:r>
            <w:r>
              <w:rPr>
                <w:rFonts w:hint="eastAsia" w:ascii="宋体" w:hAnsi="宋体" w:cs="宋体"/>
                <w:szCs w:val="21"/>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93" w:type="dxa"/>
            <w:vAlign w:val="center"/>
          </w:tcPr>
          <w:p>
            <w:pPr>
              <w:snapToGrid w:val="0"/>
              <w:spacing w:line="360" w:lineRule="auto"/>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w:t>
            </w:r>
          </w:p>
        </w:tc>
        <w:tc>
          <w:tcPr>
            <w:tcW w:w="1843" w:type="dxa"/>
            <w:vAlign w:val="center"/>
          </w:tcPr>
          <w:p>
            <w:pPr>
              <w:snapToGrid w:val="0"/>
              <w:spacing w:line="360" w:lineRule="auto"/>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投标有效期</w:t>
            </w:r>
          </w:p>
        </w:tc>
        <w:tc>
          <w:tcPr>
            <w:tcW w:w="5811" w:type="dxa"/>
            <w:vAlign w:val="center"/>
          </w:tcPr>
          <w:p>
            <w:pPr>
              <w:snapToGrid w:val="0"/>
              <w:spacing w:line="440" w:lineRule="exact"/>
              <w:ind w:firstLine="420" w:firstLineChars="200"/>
              <w:rPr>
                <w:rFonts w:hint="eastAsia" w:ascii="宋体" w:hAnsi="宋体" w:cs="宋体"/>
                <w:color w:val="auto"/>
                <w:szCs w:val="21"/>
                <w:u w:val="single"/>
                <w:lang w:val="en-US" w:eastAsia="zh-CN"/>
              </w:rPr>
            </w:pPr>
            <w:r>
              <w:rPr>
                <w:rFonts w:hint="eastAsia" w:ascii="宋体" w:hAnsi="宋体" w:cs="宋体"/>
                <w:color w:val="auto"/>
                <w:szCs w:val="21"/>
                <w:u w:val="single"/>
                <w:lang w:val="en-US" w:eastAsia="zh-CN"/>
              </w:rPr>
              <w:t>90</w:t>
            </w:r>
            <w:r>
              <w:rPr>
                <w:rFonts w:hint="eastAsia" w:ascii="宋体" w:hAnsi="宋体" w:cs="宋体"/>
                <w:color w:val="auto"/>
                <w:szCs w:val="21"/>
              </w:rPr>
              <w:t>日历天</w:t>
            </w:r>
            <w:r>
              <w:rPr>
                <w:rFonts w:hint="eastAsia" w:ascii="宋体" w:hAnsi="宋体" w:cs="宋体"/>
                <w:szCs w:val="21"/>
              </w:rPr>
              <w:t>（从提交投标文件截止日起计算）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lang w:val="en-US" w:eastAsia="zh-CN"/>
              </w:rPr>
              <w:t>4</w:t>
            </w:r>
            <w:r>
              <w:rPr>
                <w:rFonts w:hint="eastAsia" w:ascii="宋体" w:hAnsi="宋体" w:cs="宋体"/>
                <w:color w:val="auto"/>
                <w:kern w:val="0"/>
                <w:szCs w:val="21"/>
              </w:rPr>
              <w:t>.1</w:t>
            </w:r>
          </w:p>
        </w:tc>
        <w:tc>
          <w:tcPr>
            <w:tcW w:w="1843" w:type="dxa"/>
            <w:vAlign w:val="center"/>
          </w:tcPr>
          <w:p>
            <w:pPr>
              <w:pStyle w:val="71"/>
              <w:spacing w:line="360" w:lineRule="auto"/>
              <w:jc w:val="center"/>
              <w:rPr>
                <w:rFonts w:ascii="宋体" w:hAnsi="宋体" w:cs="宋体"/>
                <w:kern w:val="0"/>
                <w:szCs w:val="21"/>
              </w:rPr>
            </w:pPr>
            <w:r>
              <w:rPr>
                <w:rFonts w:hint="eastAsia" w:cs="宋体"/>
                <w:color w:val="auto"/>
                <w:sz w:val="21"/>
                <w:szCs w:val="21"/>
              </w:rPr>
              <w:t>资格审查资料</w:t>
            </w:r>
          </w:p>
        </w:tc>
        <w:tc>
          <w:tcPr>
            <w:tcW w:w="5811" w:type="dxa"/>
            <w:vAlign w:val="center"/>
          </w:tcPr>
          <w:p>
            <w:pPr>
              <w:snapToGrid w:val="0"/>
              <w:spacing w:line="440" w:lineRule="exact"/>
              <w:ind w:firstLine="420" w:firstLineChars="200"/>
              <w:rPr>
                <w:rFonts w:ascii="宋体" w:hAnsi="宋体" w:cs="宋体"/>
                <w:kern w:val="0"/>
                <w:szCs w:val="21"/>
              </w:rPr>
            </w:pPr>
            <w:r>
              <w:rPr>
                <w:rFonts w:hint="eastAsia" w:ascii="宋体" w:hAnsi="宋体" w:cs="宋体"/>
                <w:color w:val="auto"/>
                <w:kern w:val="0"/>
                <w:szCs w:val="21"/>
              </w:rPr>
              <w:t>本须知1.4项规定提供的资料均需</w:t>
            </w:r>
            <w:r>
              <w:rPr>
                <w:rFonts w:hint="eastAsia" w:ascii="宋体" w:hAnsi="宋体" w:cs="宋体"/>
                <w:color w:val="auto"/>
                <w:kern w:val="0"/>
                <w:szCs w:val="21"/>
                <w:lang w:eastAsia="zh-CN"/>
              </w:rPr>
              <w:t>完整</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1</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投标文件的份数</w:t>
            </w:r>
          </w:p>
        </w:tc>
        <w:tc>
          <w:tcPr>
            <w:tcW w:w="5811" w:type="dxa"/>
            <w:vAlign w:val="center"/>
          </w:tcPr>
          <w:p>
            <w:pPr>
              <w:numPr>
                <w:ilvl w:val="0"/>
                <w:numId w:val="0"/>
              </w:numPr>
              <w:autoSpaceDE w:val="0"/>
              <w:autoSpaceDN w:val="0"/>
              <w:adjustRightInd w:val="0"/>
              <w:spacing w:line="440" w:lineRule="exact"/>
              <w:ind w:firstLine="420" w:firstLineChars="200"/>
              <w:rPr>
                <w:rFonts w:hint="eastAsia"/>
              </w:rPr>
            </w:pPr>
            <w:r>
              <w:rPr>
                <w:rFonts w:hint="eastAsia"/>
                <w:lang w:val="en-US" w:eastAsia="zh-CN"/>
              </w:rPr>
              <w:t>1.</w:t>
            </w:r>
            <w:r>
              <w:rPr>
                <w:rFonts w:hint="eastAsia"/>
                <w:lang w:eastAsia="zh-CN"/>
              </w:rPr>
              <w:t>投标</w:t>
            </w:r>
            <w:r>
              <w:rPr>
                <w:rFonts w:hint="eastAsia"/>
              </w:rPr>
              <w:t>文件由投标函部分组成</w:t>
            </w:r>
            <w:r>
              <w:rPr>
                <w:rFonts w:hint="eastAsia"/>
                <w:lang w:eastAsia="zh-CN"/>
              </w:rPr>
              <w:t>：一式一份。</w:t>
            </w:r>
          </w:p>
          <w:p>
            <w:pPr>
              <w:numPr>
                <w:ilvl w:val="0"/>
                <w:numId w:val="0"/>
              </w:numPr>
              <w:autoSpaceDE w:val="0"/>
              <w:autoSpaceDN w:val="0"/>
              <w:adjustRightInd w:val="0"/>
              <w:spacing w:line="440" w:lineRule="exact"/>
              <w:ind w:firstLine="420" w:firstLineChars="200"/>
              <w:rPr>
                <w:rFonts w:hint="eastAsia" w:eastAsia="仿宋_GB2312"/>
                <w:lang w:val="en-US" w:eastAsia="zh-CN"/>
              </w:rPr>
            </w:pPr>
            <w:r>
              <w:rPr>
                <w:rFonts w:hint="eastAsia" w:ascii="Times New Roman" w:hAnsi="Times New Roman" w:eastAsia="宋体" w:cs="Times New Roman"/>
                <w:b w:val="0"/>
                <w:kern w:val="2"/>
                <w:sz w:val="21"/>
                <w:szCs w:val="24"/>
                <w:lang w:val="en-US" w:eastAsia="zh-CN" w:bidi="ar-SA"/>
              </w:rPr>
              <w:t>2.</w:t>
            </w:r>
            <w:r>
              <w:rPr>
                <w:rFonts w:hint="default" w:ascii="Times New Roman" w:hAnsi="Times New Roman" w:eastAsia="宋体" w:cs="Times New Roman"/>
                <w:b w:val="0"/>
                <w:kern w:val="2"/>
                <w:sz w:val="21"/>
                <w:szCs w:val="24"/>
                <w:lang w:val="en-US" w:eastAsia="zh-CN" w:bidi="ar-SA"/>
              </w:rPr>
              <w:t>资格审查资料：一式</w:t>
            </w:r>
            <w:r>
              <w:rPr>
                <w:rFonts w:hint="eastAsia" w:cs="Times New Roman"/>
                <w:b w:val="0"/>
                <w:kern w:val="2"/>
                <w:sz w:val="21"/>
                <w:szCs w:val="24"/>
                <w:lang w:val="en-US" w:eastAsia="zh-CN" w:bidi="ar-SA"/>
              </w:rPr>
              <w:t>一</w:t>
            </w:r>
            <w:r>
              <w:rPr>
                <w:rFonts w:hint="default" w:ascii="Times New Roman" w:hAnsi="Times New Roman" w:eastAsia="宋体" w:cs="Times New Roman"/>
                <w:b w:val="0"/>
                <w:kern w:val="2"/>
                <w:sz w:val="21"/>
                <w:szCs w:val="24"/>
                <w:lang w:val="en-US" w:eastAsia="zh-CN" w:bidi="ar-SA"/>
              </w:rPr>
              <w:t>份</w:t>
            </w:r>
            <w:r>
              <w:rPr>
                <w:rFonts w:hint="eastAsia" w:cs="Times New Roman"/>
                <w:b w:val="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2</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投标文件的密封</w:t>
            </w:r>
          </w:p>
        </w:tc>
        <w:tc>
          <w:tcPr>
            <w:tcW w:w="5811" w:type="dxa"/>
            <w:vAlign w:val="center"/>
          </w:tcPr>
          <w:p>
            <w:pPr>
              <w:spacing w:line="440" w:lineRule="exact"/>
              <w:ind w:firstLine="422" w:firstLineChars="201"/>
              <w:rPr>
                <w:rFonts w:ascii="宋体" w:hAnsi="宋体" w:cs="宋体"/>
                <w:color w:val="auto"/>
                <w:szCs w:val="21"/>
              </w:rPr>
            </w:pPr>
            <w:r>
              <w:rPr>
                <w:rFonts w:hint="eastAsia" w:ascii="宋体" w:hAnsi="宋体" w:cs="宋体"/>
                <w:color w:val="auto"/>
                <w:szCs w:val="21"/>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2.如果投标文件没有按上述规定密封，该投标文件将被拒绝接收。</w:t>
            </w:r>
          </w:p>
          <w:p>
            <w:pPr>
              <w:spacing w:line="440" w:lineRule="exact"/>
              <w:ind w:firstLine="420" w:firstLineChars="200"/>
              <w:rPr>
                <w:rFonts w:ascii="宋体" w:hAnsi="宋体" w:cs="宋体"/>
                <w:szCs w:val="21"/>
              </w:rPr>
            </w:pPr>
            <w:r>
              <w:rPr>
                <w:rFonts w:hint="eastAsia" w:ascii="宋体" w:hAnsi="宋体" w:cs="宋体"/>
                <w:color w:val="auto"/>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color w:val="auto"/>
                <w:kern w:val="0"/>
                <w:szCs w:val="21"/>
                <w:highlight w:val="none"/>
              </w:rPr>
              <w:t>封套上写明</w:t>
            </w:r>
          </w:p>
        </w:tc>
        <w:tc>
          <w:tcPr>
            <w:tcW w:w="5811" w:type="dxa"/>
            <w:vAlign w:val="center"/>
          </w:tcPr>
          <w:p>
            <w:pPr>
              <w:snapToGrid w:val="0"/>
              <w:spacing w:line="440" w:lineRule="exact"/>
              <w:rPr>
                <w:rFonts w:ascii="宋体" w:hAnsi="宋体" w:cs="宋体"/>
                <w:color w:val="auto"/>
                <w:kern w:val="0"/>
                <w:szCs w:val="21"/>
                <w:highlight w:val="none"/>
              </w:rPr>
            </w:pPr>
            <w:bookmarkStart w:id="23" w:name="_Hlt198772975"/>
            <w:bookmarkEnd w:id="23"/>
            <w:r>
              <w:rPr>
                <w:rFonts w:hint="eastAsia" w:ascii="宋体" w:hAnsi="宋体" w:cs="宋体"/>
                <w:color w:val="auto"/>
                <w:kern w:val="0"/>
                <w:szCs w:val="21"/>
                <w:highlight w:val="none"/>
              </w:rPr>
              <w:t>应在“投标文件”袋封套上写明如下内容：</w:t>
            </w:r>
            <w:r>
              <w:rPr>
                <w:rFonts w:hint="eastAsia" w:ascii="宋体" w:hAnsi="宋体" w:cs="宋体"/>
                <w:color w:val="auto"/>
                <w:kern w:val="0"/>
                <w:szCs w:val="21"/>
                <w:highlight w:val="none"/>
                <w:lang w:eastAsia="zh-CN"/>
              </w:rPr>
              <w:t>共享工投公司2023年度短期融资券主承销商选聘</w:t>
            </w:r>
            <w:r>
              <w:rPr>
                <w:rFonts w:hint="eastAsia" w:ascii="宋体" w:hAnsi="宋体" w:cs="宋体"/>
                <w:color w:val="auto"/>
                <w:kern w:val="0"/>
                <w:szCs w:val="21"/>
                <w:highlight w:val="none"/>
                <w:lang w:val="en-US" w:eastAsia="zh-CN"/>
              </w:rPr>
              <w:t>项目</w:t>
            </w:r>
            <w:r>
              <w:rPr>
                <w:rFonts w:hint="eastAsia" w:ascii="宋体" w:hAnsi="宋体" w:cs="宋体"/>
                <w:color w:val="auto"/>
                <w:kern w:val="0"/>
                <w:szCs w:val="21"/>
                <w:highlight w:val="none"/>
              </w:rPr>
              <w:t>投标文件</w:t>
            </w:r>
          </w:p>
          <w:p>
            <w:pPr>
              <w:snapToGrid w:val="0"/>
              <w:spacing w:line="440" w:lineRule="exact"/>
              <w:rPr>
                <w:rFonts w:ascii="宋体" w:hAnsi="宋体" w:cs="宋体"/>
                <w:szCs w:val="21"/>
                <w:highlight w:val="none"/>
              </w:rPr>
            </w:pPr>
            <w:r>
              <w:rPr>
                <w:rFonts w:hint="eastAsia" w:ascii="宋体" w:hAnsi="宋体" w:cs="宋体"/>
                <w:color w:val="auto"/>
                <w:kern w:val="0"/>
                <w:szCs w:val="21"/>
                <w:highlight w:val="none"/>
              </w:rPr>
              <w:t>在</w:t>
            </w: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23</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 xml:space="preserve"> 5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15 </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lang w:val="en-US" w:eastAsia="zh-CN"/>
              </w:rPr>
              <w:t xml:space="preserve"> 14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5.2.1</w:t>
            </w:r>
          </w:p>
        </w:tc>
        <w:tc>
          <w:tcPr>
            <w:tcW w:w="1843" w:type="dxa"/>
            <w:vAlign w:val="center"/>
          </w:tcPr>
          <w:p>
            <w:pPr>
              <w:snapToGrid w:val="0"/>
              <w:spacing w:line="360" w:lineRule="auto"/>
              <w:jc w:val="center"/>
              <w:rPr>
                <w:rFonts w:hint="eastAsia" w:ascii="宋体" w:hAnsi="宋体" w:cs="宋体"/>
                <w:color w:val="auto"/>
                <w:kern w:val="0"/>
                <w:szCs w:val="21"/>
                <w:highlight w:val="none"/>
              </w:rPr>
            </w:pPr>
            <w:r>
              <w:rPr>
                <w:rFonts w:hint="eastAsia" w:ascii="宋体" w:hAnsi="宋体"/>
                <w:snapToGrid w:val="0"/>
                <w:szCs w:val="21"/>
                <w:highlight w:val="none"/>
                <w:lang w:eastAsia="zh-CN"/>
              </w:rPr>
              <w:t>投标</w:t>
            </w:r>
            <w:r>
              <w:rPr>
                <w:rFonts w:hint="eastAsia" w:ascii="宋体" w:hAnsi="宋体"/>
                <w:snapToGrid w:val="0"/>
                <w:szCs w:val="21"/>
                <w:highlight w:val="none"/>
              </w:rPr>
              <w:t>文件递交截止时间</w:t>
            </w:r>
          </w:p>
        </w:tc>
        <w:tc>
          <w:tcPr>
            <w:tcW w:w="5811" w:type="dxa"/>
            <w:vAlign w:val="center"/>
          </w:tcPr>
          <w:p>
            <w:pPr>
              <w:snapToGrid w:val="0"/>
              <w:spacing w:line="440" w:lineRule="exac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23</w:t>
            </w:r>
            <w:r>
              <w:rPr>
                <w:rFonts w:hint="eastAsia" w:ascii="宋体" w:hAnsi="宋体"/>
                <w:szCs w:val="21"/>
                <w:highlight w:val="none"/>
              </w:rPr>
              <w:t>年</w:t>
            </w:r>
            <w:r>
              <w:rPr>
                <w:rFonts w:hint="eastAsia" w:ascii="宋体" w:hAnsi="宋体" w:cs="宋体"/>
                <w:color w:val="auto"/>
                <w:kern w:val="0"/>
                <w:szCs w:val="21"/>
                <w:highlight w:val="none"/>
                <w:u w:val="single"/>
                <w:lang w:val="en-US" w:eastAsia="zh-CN"/>
              </w:rPr>
              <w:t xml:space="preserve"> 5 </w:t>
            </w:r>
            <w:r>
              <w:rPr>
                <w:rFonts w:hint="eastAsia" w:ascii="宋体" w:hAnsi="宋体"/>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15 </w:t>
            </w:r>
            <w:r>
              <w:rPr>
                <w:rFonts w:hint="eastAsia" w:ascii="宋体" w:hAnsi="宋体"/>
                <w:szCs w:val="21"/>
                <w:highlight w:val="none"/>
              </w:rPr>
              <w:t>日</w:t>
            </w:r>
            <w:r>
              <w:rPr>
                <w:rFonts w:hint="eastAsia" w:ascii="宋体" w:hAnsi="宋体" w:cs="宋体"/>
                <w:color w:val="auto"/>
                <w:kern w:val="0"/>
                <w:szCs w:val="21"/>
                <w:highlight w:val="none"/>
                <w:u w:val="single"/>
                <w:lang w:val="en-US" w:eastAsia="zh-CN"/>
              </w:rPr>
              <w:t xml:space="preserve"> 14 </w:t>
            </w:r>
            <w:r>
              <w:rPr>
                <w:rFonts w:hint="eastAsia" w:ascii="宋体" w:hAnsi="宋体"/>
                <w:szCs w:val="21"/>
                <w:highlight w:val="none"/>
              </w:rPr>
              <w:t>时</w:t>
            </w:r>
            <w:r>
              <w:rPr>
                <w:rFonts w:hint="eastAsia" w:ascii="宋体" w:hAnsi="宋体" w:cs="宋体"/>
                <w:color w:val="auto"/>
                <w:kern w:val="0"/>
                <w:szCs w:val="21"/>
                <w:highlight w:val="none"/>
                <w:u w:val="single"/>
                <w:lang w:val="en-US" w:eastAsia="zh-CN"/>
              </w:rPr>
              <w:t xml:space="preserve"> 30 </w:t>
            </w:r>
            <w:r>
              <w:rPr>
                <w:rFonts w:hint="eastAsia" w:ascii="宋体" w:hAnsi="宋体"/>
                <w:szCs w:val="21"/>
                <w:highlight w:val="none"/>
                <w:lang w:val="en-US" w:eastAsia="zh-CN"/>
              </w:rPr>
              <w:t>分</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5.2.</w:t>
            </w:r>
            <w:r>
              <w:rPr>
                <w:rFonts w:hint="eastAsia" w:ascii="宋体" w:hAnsi="宋体" w:cs="宋体"/>
                <w:color w:val="auto"/>
                <w:kern w:val="0"/>
                <w:szCs w:val="21"/>
                <w:lang w:val="en-US" w:eastAsia="zh-CN"/>
              </w:rPr>
              <w:t>2</w:t>
            </w:r>
          </w:p>
        </w:tc>
        <w:tc>
          <w:tcPr>
            <w:tcW w:w="1843" w:type="dxa"/>
            <w:vAlign w:val="center"/>
          </w:tcPr>
          <w:p>
            <w:pPr>
              <w:snapToGrid w:val="0"/>
              <w:spacing w:line="440" w:lineRule="exact"/>
              <w:jc w:val="center"/>
              <w:rPr>
                <w:rFonts w:ascii="宋体" w:hAnsi="宋体" w:cs="宋体"/>
                <w:kern w:val="0"/>
                <w:szCs w:val="21"/>
              </w:rPr>
            </w:pPr>
            <w:r>
              <w:rPr>
                <w:rFonts w:hint="eastAsia" w:ascii="宋体" w:hAnsi="宋体" w:cs="宋体"/>
                <w:color w:val="auto"/>
                <w:kern w:val="0"/>
                <w:szCs w:val="21"/>
              </w:rPr>
              <w:t>投标文件递交地点</w:t>
            </w:r>
          </w:p>
        </w:tc>
        <w:tc>
          <w:tcPr>
            <w:tcW w:w="5811" w:type="dxa"/>
            <w:vAlign w:val="center"/>
          </w:tcPr>
          <w:p>
            <w:pPr>
              <w:pStyle w:val="71"/>
              <w:spacing w:line="440" w:lineRule="exact"/>
              <w:jc w:val="both"/>
              <w:rPr>
                <w:rFonts w:ascii="宋体" w:hAnsi="宋体" w:cs="宋体"/>
                <w:szCs w:val="21"/>
              </w:rPr>
            </w:pPr>
            <w:r>
              <w:rPr>
                <w:rFonts w:hint="eastAsia" w:ascii="宋体" w:hAnsi="宋体" w:cs="宋体"/>
                <w:color w:val="auto"/>
                <w:kern w:val="0"/>
                <w:sz w:val="21"/>
                <w:szCs w:val="21"/>
                <w:lang w:val="en-US" w:eastAsia="zh-CN" w:bidi="ar-SA"/>
              </w:rPr>
              <w:t>沙坪坝区凤凰镇</w:t>
            </w:r>
            <w:r>
              <w:rPr>
                <w:rFonts w:hint="eastAsia" w:cs="宋体"/>
                <w:color w:val="auto"/>
                <w:kern w:val="0"/>
                <w:sz w:val="21"/>
                <w:szCs w:val="21"/>
                <w:lang w:val="en-US" w:eastAsia="zh-CN" w:bidi="ar-SA"/>
              </w:rPr>
              <w:t>凤凰文化</w:t>
            </w:r>
            <w:r>
              <w:rPr>
                <w:rFonts w:hint="eastAsia" w:ascii="宋体" w:hAnsi="宋体" w:cs="宋体"/>
                <w:color w:val="auto"/>
                <w:kern w:val="0"/>
                <w:sz w:val="21"/>
                <w:szCs w:val="21"/>
                <w:lang w:val="en-US" w:eastAsia="zh-CN" w:bidi="ar-SA"/>
              </w:rPr>
              <w:t>广场重庆共享工业投资有限公司会议室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color w:val="auto"/>
                <w:kern w:val="0"/>
                <w:szCs w:val="21"/>
                <w:highlight w:val="none"/>
              </w:rPr>
              <w:t>开标时间和地点</w:t>
            </w:r>
          </w:p>
        </w:tc>
        <w:tc>
          <w:tcPr>
            <w:tcW w:w="5811" w:type="dxa"/>
            <w:vAlign w:val="center"/>
          </w:tcPr>
          <w:p>
            <w:pPr>
              <w:snapToGrid w:val="0"/>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开标时间：</w:t>
            </w:r>
            <w:r>
              <w:rPr>
                <w:rFonts w:hint="eastAsia" w:ascii="宋体" w:hAnsi="宋体" w:cs="宋体"/>
                <w:color w:val="auto"/>
                <w:kern w:val="0"/>
                <w:szCs w:val="21"/>
                <w:highlight w:val="none"/>
                <w:u w:val="single"/>
              </w:rPr>
              <w:t>20</w:t>
            </w:r>
            <w:r>
              <w:rPr>
                <w:rFonts w:hint="eastAsia" w:ascii="宋体" w:hAnsi="宋体" w:cs="宋体"/>
                <w:color w:val="auto"/>
                <w:kern w:val="0"/>
                <w:szCs w:val="21"/>
                <w:highlight w:val="none"/>
                <w:u w:val="single"/>
                <w:lang w:val="en-US" w:eastAsia="zh-CN"/>
              </w:rPr>
              <w:t>23</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5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 xml:space="preserve"> 15 </w:t>
            </w:r>
            <w:r>
              <w:rPr>
                <w:rFonts w:hint="eastAsia" w:ascii="宋体" w:hAnsi="宋体" w:cs="宋体"/>
                <w:color w:val="auto"/>
                <w:kern w:val="0"/>
                <w:szCs w:val="21"/>
                <w:highlight w:val="none"/>
              </w:rPr>
              <w:t>日</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14 </w:t>
            </w:r>
            <w:r>
              <w:rPr>
                <w:rFonts w:hint="eastAsia" w:ascii="宋体" w:hAnsi="宋体" w:cs="宋体"/>
                <w:color w:val="auto"/>
                <w:kern w:val="0"/>
                <w:szCs w:val="21"/>
                <w:highlight w:val="none"/>
              </w:rPr>
              <w:t>时</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30 </w:t>
            </w:r>
            <w:r>
              <w:rPr>
                <w:rFonts w:hint="eastAsia" w:ascii="宋体" w:hAnsi="宋体" w:cs="宋体"/>
                <w:color w:val="auto"/>
                <w:kern w:val="0"/>
                <w:szCs w:val="21"/>
                <w:highlight w:val="none"/>
              </w:rPr>
              <w:t>分</w:t>
            </w:r>
          </w:p>
          <w:p>
            <w:pPr>
              <w:snapToGrid w:val="0"/>
              <w:spacing w:line="440" w:lineRule="exact"/>
              <w:rPr>
                <w:rFonts w:ascii="宋体" w:hAnsi="宋体" w:cs="宋体"/>
                <w:b/>
                <w:kern w:val="0"/>
                <w:szCs w:val="21"/>
                <w:highlight w:val="none"/>
              </w:rPr>
            </w:pPr>
            <w:r>
              <w:rPr>
                <w:rFonts w:hint="eastAsia" w:ascii="宋体" w:hAnsi="宋体" w:cs="宋体"/>
                <w:color w:val="auto"/>
                <w:kern w:val="0"/>
                <w:szCs w:val="21"/>
                <w:highlight w:val="none"/>
              </w:rPr>
              <w:t>开标地点：</w:t>
            </w:r>
            <w:r>
              <w:rPr>
                <w:rFonts w:hint="eastAsia" w:ascii="宋体" w:hAnsi="宋体" w:cs="宋体"/>
                <w:color w:val="auto"/>
                <w:kern w:val="0"/>
                <w:szCs w:val="21"/>
                <w:highlight w:val="none"/>
                <w:lang w:eastAsia="zh-CN"/>
              </w:rPr>
              <w:t>沙坪坝区凤凰镇凤凰文化广场重庆共享工业投资有限公司</w:t>
            </w:r>
            <w:r>
              <w:rPr>
                <w:rFonts w:hint="eastAsia" w:ascii="宋体" w:hAnsi="宋体" w:cs="宋体"/>
                <w:color w:val="auto"/>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6.1.</w:t>
            </w:r>
            <w:r>
              <w:rPr>
                <w:rFonts w:hint="eastAsia" w:ascii="宋体" w:hAnsi="宋体" w:cs="宋体"/>
                <w:color w:val="auto"/>
                <w:kern w:val="0"/>
                <w:szCs w:val="21"/>
                <w:lang w:val="en-US" w:eastAsia="zh-CN"/>
              </w:rPr>
              <w:t>1</w:t>
            </w:r>
          </w:p>
        </w:tc>
        <w:tc>
          <w:tcPr>
            <w:tcW w:w="1843" w:type="dxa"/>
            <w:vAlign w:val="center"/>
          </w:tcPr>
          <w:p>
            <w:pPr>
              <w:spacing w:line="420" w:lineRule="exact"/>
              <w:jc w:val="center"/>
              <w:textAlignment w:val="baseline"/>
              <w:rPr>
                <w:rFonts w:ascii="宋体" w:hAnsi="宋体"/>
                <w:color w:val="auto"/>
                <w:szCs w:val="21"/>
              </w:rPr>
            </w:pPr>
            <w:r>
              <w:rPr>
                <w:rFonts w:hint="eastAsia" w:ascii="宋体" w:hAnsi="宋体"/>
                <w:color w:val="auto"/>
                <w:szCs w:val="21"/>
              </w:rPr>
              <w:t>无效标的确认</w:t>
            </w:r>
          </w:p>
          <w:p>
            <w:pPr>
              <w:adjustRightInd w:val="0"/>
              <w:snapToGrid w:val="0"/>
              <w:spacing w:line="360" w:lineRule="auto"/>
              <w:jc w:val="center"/>
              <w:rPr>
                <w:rFonts w:ascii="宋体" w:hAnsi="宋体" w:cs="宋体"/>
                <w:kern w:val="0"/>
                <w:szCs w:val="21"/>
              </w:rPr>
            </w:pPr>
          </w:p>
        </w:tc>
        <w:tc>
          <w:tcPr>
            <w:tcW w:w="5811" w:type="dxa"/>
            <w:vAlign w:val="center"/>
          </w:tcPr>
          <w:p>
            <w:pPr>
              <w:spacing w:line="440" w:lineRule="exact"/>
              <w:ind w:firstLine="420" w:firstLineChars="200"/>
              <w:textAlignment w:val="baseline"/>
              <w:rPr>
                <w:rFonts w:ascii="宋体" w:hAnsi="宋体"/>
                <w:color w:val="auto"/>
                <w:szCs w:val="21"/>
              </w:rPr>
            </w:pPr>
            <w:r>
              <w:rPr>
                <w:rFonts w:hint="eastAsia" w:ascii="宋体" w:hAnsi="宋体"/>
                <w:color w:val="auto"/>
                <w:szCs w:val="21"/>
              </w:rPr>
              <w:t>有下列情况之一者，均视为未响应本比选文件而作为废标条件：</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竞标文件没有加盖竞标单位印章的；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rPr>
              <w:t>竞标文件未按规定的</w:t>
            </w:r>
            <w:bookmarkStart w:id="39" w:name="_GoBack"/>
            <w:bookmarkEnd w:id="39"/>
            <w:r>
              <w:rPr>
                <w:rFonts w:hint="eastAsia" w:ascii="宋体" w:hAnsi="宋体"/>
                <w:color w:val="auto"/>
                <w:szCs w:val="21"/>
              </w:rPr>
              <w:t>格式和要求填写，内容不全或者关键内容字迹模糊、无法辨认的；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rPr>
            </w:pPr>
            <w:r>
              <w:rPr>
                <w:rFonts w:hint="eastAsia" w:ascii="宋体" w:hAnsi="宋体"/>
                <w:color w:val="auto"/>
                <w:szCs w:val="21"/>
                <w:lang w:val="en-US" w:eastAsia="zh-CN"/>
              </w:rPr>
              <w:t>4</w:t>
            </w:r>
            <w:r>
              <w:rPr>
                <w:rFonts w:hint="eastAsia" w:ascii="宋体" w:hAnsi="宋体"/>
                <w:color w:val="auto"/>
                <w:szCs w:val="21"/>
                <w:lang w:eastAsia="zh-CN"/>
              </w:rPr>
              <w:t>.</w:t>
            </w:r>
            <w:r>
              <w:rPr>
                <w:rFonts w:hint="eastAsia" w:ascii="宋体" w:hAnsi="宋体"/>
                <w:color w:val="auto"/>
                <w:szCs w:val="21"/>
              </w:rPr>
              <w:t>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6.1.</w:t>
            </w:r>
            <w:r>
              <w:rPr>
                <w:rFonts w:hint="eastAsia" w:ascii="宋体" w:hAnsi="宋体" w:cs="宋体"/>
                <w:color w:val="auto"/>
                <w:kern w:val="0"/>
                <w:szCs w:val="21"/>
                <w:lang w:val="en-US" w:eastAsia="zh-CN"/>
              </w:rPr>
              <w:t>2</w:t>
            </w:r>
          </w:p>
        </w:tc>
        <w:tc>
          <w:tcPr>
            <w:tcW w:w="1843" w:type="dxa"/>
            <w:vAlign w:val="center"/>
          </w:tcPr>
          <w:p>
            <w:pPr>
              <w:spacing w:line="420" w:lineRule="exact"/>
              <w:ind w:firstLine="420" w:firstLineChars="200"/>
              <w:textAlignment w:val="baseline"/>
              <w:rPr>
                <w:rFonts w:ascii="宋体" w:hAnsi="宋体" w:cs="宋体"/>
                <w:kern w:val="0"/>
                <w:szCs w:val="21"/>
              </w:rPr>
            </w:pPr>
            <w:r>
              <w:rPr>
                <w:rFonts w:hint="eastAsia" w:ascii="宋体" w:hAnsi="宋体" w:cs="宋体"/>
                <w:color w:val="auto"/>
                <w:kern w:val="0"/>
              </w:rPr>
              <w:t>重新比选</w:t>
            </w:r>
          </w:p>
        </w:tc>
        <w:tc>
          <w:tcPr>
            <w:tcW w:w="5811"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竞标截止时间内，发包人收到的有效报价少于</w:t>
            </w:r>
            <w:r>
              <w:rPr>
                <w:rFonts w:hint="eastAsia" w:ascii="宋体" w:hAnsi="宋体"/>
                <w:color w:val="auto"/>
                <w:szCs w:val="21"/>
                <w:lang w:val="en-US" w:eastAsia="zh-CN"/>
              </w:rPr>
              <w:t>3</w:t>
            </w:r>
            <w:r>
              <w:rPr>
                <w:rFonts w:hint="eastAsia" w:ascii="宋体" w:hAnsi="宋体"/>
                <w:color w:val="auto"/>
                <w:szCs w:val="21"/>
              </w:rPr>
              <w:t>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7</w:t>
            </w:r>
            <w:r>
              <w:rPr>
                <w:rFonts w:hint="eastAsia" w:ascii="宋体" w:hAnsi="宋体" w:cs="宋体"/>
                <w:color w:val="auto"/>
                <w:kern w:val="0"/>
                <w:szCs w:val="21"/>
              </w:rPr>
              <w:t>.1</w:t>
            </w:r>
          </w:p>
        </w:tc>
        <w:tc>
          <w:tcPr>
            <w:tcW w:w="1843" w:type="dxa"/>
            <w:vAlign w:val="center"/>
          </w:tcPr>
          <w:p>
            <w:pPr>
              <w:autoSpaceDE w:val="0"/>
              <w:autoSpaceDN w:val="0"/>
              <w:adjustRightInd w:val="0"/>
              <w:spacing w:line="380" w:lineRule="exact"/>
              <w:ind w:firstLine="420" w:firstLineChars="200"/>
              <w:rPr>
                <w:rFonts w:ascii="宋体" w:hAnsi="宋体"/>
                <w:color w:val="auto"/>
                <w:kern w:val="0"/>
                <w:szCs w:val="21"/>
              </w:rPr>
            </w:pPr>
            <w:r>
              <w:rPr>
                <w:rFonts w:hint="eastAsia" w:ascii="宋体" w:hAnsi="宋体"/>
                <w:color w:val="auto"/>
                <w:kern w:val="0"/>
                <w:szCs w:val="21"/>
                <w:lang w:eastAsia="zh-CN"/>
              </w:rPr>
              <w:t>评标</w:t>
            </w:r>
            <w:r>
              <w:rPr>
                <w:rFonts w:hint="eastAsia" w:ascii="宋体" w:hAnsi="宋体"/>
                <w:color w:val="auto"/>
                <w:kern w:val="0"/>
                <w:szCs w:val="21"/>
              </w:rPr>
              <w:t>原则</w:t>
            </w:r>
          </w:p>
          <w:p>
            <w:pPr>
              <w:snapToGrid w:val="0"/>
              <w:spacing w:line="360" w:lineRule="auto"/>
              <w:jc w:val="center"/>
              <w:rPr>
                <w:rFonts w:ascii="宋体"/>
                <w:szCs w:val="21"/>
              </w:rPr>
            </w:pPr>
          </w:p>
        </w:tc>
        <w:tc>
          <w:tcPr>
            <w:tcW w:w="5811" w:type="dxa"/>
            <w:vAlign w:val="center"/>
          </w:tcPr>
          <w:p>
            <w:pPr>
              <w:spacing w:line="440" w:lineRule="exact"/>
              <w:ind w:firstLine="422" w:firstLineChars="201"/>
              <w:rPr>
                <w:rFonts w:hint="default" w:ascii="宋体" w:hAnsi="宋体" w:cs="宋体"/>
                <w:color w:val="auto"/>
                <w:szCs w:val="21"/>
                <w:lang w:val="en-US" w:eastAsia="zh-CN"/>
              </w:rPr>
            </w:pPr>
            <w:r>
              <w:rPr>
                <w:rFonts w:hint="default" w:ascii="宋体" w:hAnsi="宋体" w:cs="宋体"/>
                <w:color w:val="auto"/>
                <w:szCs w:val="21"/>
                <w:lang w:val="en-US" w:eastAsia="zh-CN"/>
              </w:rPr>
              <w:t>1</w:t>
            </w:r>
            <w:r>
              <w:rPr>
                <w:rFonts w:hint="eastAsia" w:ascii="宋体" w:hAnsi="宋体" w:cs="宋体"/>
                <w:color w:val="auto"/>
                <w:szCs w:val="21"/>
                <w:lang w:val="en-US" w:eastAsia="zh-CN"/>
              </w:rPr>
              <w:t>.由共享工投公司组成评标小组，采取综合评议办法，</w:t>
            </w:r>
            <w:r>
              <w:rPr>
                <w:rFonts w:hint="default" w:ascii="宋体" w:hAnsi="宋体" w:cs="宋体"/>
                <w:color w:val="auto"/>
                <w:szCs w:val="21"/>
                <w:lang w:val="en-US" w:eastAsia="zh-CN"/>
              </w:rPr>
              <w:t>按评分加计总分排序，作为比选依据。</w:t>
            </w:r>
          </w:p>
          <w:p>
            <w:pPr>
              <w:spacing w:line="440" w:lineRule="exact"/>
              <w:ind w:firstLine="422" w:firstLineChars="201"/>
              <w:rPr>
                <w:rFonts w:hint="default" w:ascii="宋体" w:hAnsi="宋体" w:cs="宋体"/>
                <w:color w:val="auto"/>
                <w:szCs w:val="21"/>
                <w:lang w:val="en-US" w:eastAsia="zh-CN"/>
              </w:rPr>
            </w:pPr>
            <w:r>
              <w:rPr>
                <w:rFonts w:hint="default" w:ascii="宋体" w:hAnsi="宋体" w:cs="宋体"/>
                <w:color w:val="auto"/>
                <w:szCs w:val="21"/>
                <w:lang w:val="en-US" w:eastAsia="zh-CN"/>
              </w:rPr>
              <w:t>2</w:t>
            </w:r>
            <w:r>
              <w:rPr>
                <w:rFonts w:hint="eastAsia" w:ascii="宋体" w:hAnsi="宋体" w:cs="宋体"/>
                <w:color w:val="auto"/>
                <w:szCs w:val="21"/>
                <w:lang w:val="en-US" w:eastAsia="zh-CN"/>
              </w:rPr>
              <w:t>.</w:t>
            </w:r>
            <w:r>
              <w:rPr>
                <w:rFonts w:hint="default" w:ascii="宋体" w:hAnsi="宋体" w:cs="宋体"/>
                <w:color w:val="auto"/>
                <w:szCs w:val="21"/>
                <w:lang w:val="en-US" w:eastAsia="zh-CN"/>
              </w:rPr>
              <w:t>获得的评分从高到低（评分人员对各参选单位评分的总和）</w:t>
            </w:r>
            <w:r>
              <w:rPr>
                <w:rFonts w:hint="eastAsia" w:ascii="宋体" w:hAnsi="宋体" w:cs="宋体"/>
                <w:color w:val="auto"/>
                <w:szCs w:val="21"/>
                <w:lang w:val="en-US" w:eastAsia="zh-CN"/>
              </w:rPr>
              <w:t>第1</w:t>
            </w:r>
            <w:r>
              <w:rPr>
                <w:rFonts w:hint="default" w:ascii="宋体" w:hAnsi="宋体" w:cs="宋体"/>
                <w:color w:val="auto"/>
                <w:szCs w:val="21"/>
                <w:lang w:val="en-US" w:eastAsia="zh-CN"/>
              </w:rPr>
              <w:t>名的单位为本次</w:t>
            </w:r>
            <w:r>
              <w:rPr>
                <w:rFonts w:hint="eastAsia" w:ascii="宋体" w:hAnsi="宋体" w:cs="宋体"/>
                <w:color w:val="auto"/>
                <w:szCs w:val="21"/>
                <w:lang w:val="en-US" w:eastAsia="zh-CN"/>
              </w:rPr>
              <w:t>短期融资券</w:t>
            </w:r>
            <w:r>
              <w:rPr>
                <w:rFonts w:hint="default" w:ascii="宋体" w:hAnsi="宋体" w:cs="宋体"/>
                <w:color w:val="auto"/>
                <w:szCs w:val="21"/>
                <w:lang w:val="en-US" w:eastAsia="zh-CN"/>
              </w:rPr>
              <w:t>主承销商，公司将在一周内向参与比选的单位发出比选结果通知书。</w:t>
            </w:r>
          </w:p>
          <w:p>
            <w:pPr>
              <w:spacing w:line="440" w:lineRule="exact"/>
              <w:ind w:firstLine="422" w:firstLineChars="201"/>
              <w:rPr>
                <w:rFonts w:hint="eastAsia" w:ascii="宋体" w:hAnsi="宋体" w:cs="宋体"/>
                <w:color w:val="auto"/>
                <w:szCs w:val="21"/>
                <w:lang w:val="en-US" w:eastAsia="zh-CN"/>
              </w:rPr>
            </w:pPr>
            <w:r>
              <w:rPr>
                <w:rFonts w:hint="eastAsia" w:ascii="宋体" w:hAnsi="宋体" w:cs="宋体"/>
                <w:color w:val="auto"/>
                <w:szCs w:val="21"/>
                <w:lang w:val="en-US" w:eastAsia="zh-CN"/>
              </w:rPr>
              <w:t xml:space="preserve">3.若得分最高单位在我司指定期限内未取得发行债券注册通知书，将被直接取消债券承销资格，自动由得分第二的机构承销债券，以此类推。 </w:t>
            </w:r>
          </w:p>
          <w:p>
            <w:pPr>
              <w:spacing w:line="440" w:lineRule="exact"/>
              <w:ind w:firstLine="422" w:firstLineChars="201"/>
              <w:rPr>
                <w:rFonts w:hint="default"/>
                <w:lang w:val="en-US" w:eastAsia="zh-CN"/>
              </w:rPr>
            </w:pPr>
            <w:r>
              <w:rPr>
                <w:rFonts w:hint="eastAsia" w:ascii="宋体" w:hAnsi="宋体" w:cs="宋体"/>
                <w:color w:val="auto"/>
                <w:szCs w:val="21"/>
                <w:lang w:val="en-US" w:eastAsia="zh-CN"/>
              </w:rPr>
              <w:t xml:space="preserve">4.若最终得分出现相同分数，则联合承销，承销比例由投标人自行协商，一周内协商无果的，由发行人直接按50:50确定承销比例。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8.1</w:t>
            </w:r>
          </w:p>
        </w:tc>
        <w:tc>
          <w:tcPr>
            <w:tcW w:w="1843" w:type="dxa"/>
            <w:vAlign w:val="center"/>
          </w:tcPr>
          <w:p>
            <w:pPr>
              <w:snapToGrid w:val="0"/>
              <w:spacing w:line="360" w:lineRule="auto"/>
              <w:jc w:val="center"/>
              <w:rPr>
                <w:rFonts w:hint="eastAsia" w:ascii="宋体" w:eastAsia="宋体"/>
                <w:szCs w:val="21"/>
                <w:highlight w:val="none"/>
                <w:lang w:eastAsia="zh-CN"/>
              </w:rPr>
            </w:pPr>
            <w:r>
              <w:rPr>
                <w:rFonts w:hint="eastAsia" w:ascii="宋体"/>
                <w:szCs w:val="21"/>
                <w:highlight w:val="none"/>
                <w:lang w:eastAsia="zh-CN"/>
              </w:rPr>
              <w:t>违约条款</w:t>
            </w:r>
          </w:p>
        </w:tc>
        <w:tc>
          <w:tcPr>
            <w:tcW w:w="5811" w:type="dxa"/>
            <w:vAlign w:val="center"/>
          </w:tcPr>
          <w:p>
            <w:pPr>
              <w:spacing w:line="440" w:lineRule="exact"/>
              <w:ind w:firstLine="422" w:firstLineChars="201"/>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本项目最终中标人若未能履行在投标文件中承诺的包括包销额度、认购额度在内的事项，将取消其1年内我司债券承销业务投标资格。</w:t>
            </w:r>
          </w:p>
        </w:tc>
      </w:tr>
    </w:tbl>
    <w:p>
      <w:pPr>
        <w:pStyle w:val="5"/>
        <w:spacing w:before="0" w:line="420" w:lineRule="exact"/>
        <w:rPr>
          <w:rFonts w:ascii="宋体" w:hAnsi="宋体" w:eastAsia="宋体"/>
          <w:snapToGrid w:val="0"/>
          <w:szCs w:val="24"/>
        </w:rPr>
      </w:pPr>
      <w:bookmarkStart w:id="24" w:name="_Toc200513126"/>
      <w:bookmarkStart w:id="25" w:name="_Toc224103317"/>
    </w:p>
    <w:p/>
    <w:p/>
    <w:bookmarkEnd w:id="24"/>
    <w:bookmarkEnd w:id="25"/>
    <w:p>
      <w:pPr>
        <w:rPr>
          <w:rFonts w:ascii="新宋体" w:eastAsia="新宋体"/>
          <w:szCs w:val="21"/>
        </w:rPr>
      </w:pPr>
      <w:bookmarkStart w:id="26" w:name="_Toc256532137"/>
    </w:p>
    <w:p>
      <w:pPr>
        <w:pStyle w:val="5"/>
      </w:pPr>
    </w:p>
    <w:p/>
    <w:p/>
    <w:p>
      <w:pPr>
        <w:pStyle w:val="5"/>
        <w:rPr>
          <w:rFonts w:hint="eastAsia"/>
          <w:b/>
          <w:bCs w:val="0"/>
          <w:highlight w:val="none"/>
          <w:lang w:eastAsia="zh-CN"/>
        </w:rPr>
      </w:pPr>
      <w:r>
        <w:rPr>
          <w:rFonts w:hint="eastAsia"/>
          <w:b/>
          <w:bCs w:val="0"/>
          <w:highlight w:val="none"/>
          <w:lang w:eastAsia="zh-CN"/>
        </w:rPr>
        <w:t>附件</w:t>
      </w:r>
      <w:r>
        <w:rPr>
          <w:rFonts w:hint="eastAsia"/>
          <w:b/>
          <w:bCs w:val="0"/>
          <w:highlight w:val="none"/>
          <w:lang w:val="en-US" w:eastAsia="zh-CN"/>
        </w:rPr>
        <w:t>1</w:t>
      </w:r>
      <w:r>
        <w:rPr>
          <w:rFonts w:hint="eastAsia"/>
          <w:b/>
          <w:bCs w:val="0"/>
          <w:highlight w:val="none"/>
          <w:lang w:eastAsia="zh-CN"/>
        </w:rPr>
        <w:t>：</w:t>
      </w:r>
    </w:p>
    <w:p>
      <w:pPr>
        <w:jc w:val="center"/>
        <w:rPr>
          <w:rFonts w:hint="eastAsia"/>
          <w:b/>
          <w:bCs/>
          <w:sz w:val="28"/>
          <w:szCs w:val="28"/>
          <w:lang w:eastAsia="zh-CN"/>
        </w:rPr>
      </w:pPr>
      <w:r>
        <w:rPr>
          <w:rFonts w:hint="eastAsia"/>
          <w:b/>
          <w:bCs/>
          <w:sz w:val="28"/>
          <w:szCs w:val="28"/>
          <w:lang w:eastAsia="zh-CN"/>
        </w:rPr>
        <w:t>中国银行间市场交易商协会</w:t>
      </w:r>
      <w:r>
        <w:rPr>
          <w:rFonts w:hint="eastAsia"/>
          <w:b/>
          <w:bCs/>
          <w:sz w:val="28"/>
          <w:szCs w:val="28"/>
          <w:lang w:val="en-US" w:eastAsia="zh-CN"/>
        </w:rPr>
        <w:t>超短期融资劵</w:t>
      </w:r>
      <w:r>
        <w:rPr>
          <w:rFonts w:hint="eastAsia"/>
          <w:b/>
          <w:bCs/>
          <w:sz w:val="28"/>
          <w:szCs w:val="28"/>
          <w:lang w:eastAsia="zh-CN"/>
        </w:rPr>
        <w:t>承销机构评分表</w:t>
      </w:r>
    </w:p>
    <w:p>
      <w:pPr>
        <w:pStyle w:val="5"/>
        <w:rPr>
          <w:rFonts w:hint="eastAsia"/>
          <w:lang w:eastAsia="zh-CN"/>
        </w:rPr>
      </w:pPr>
    </w:p>
    <w:tbl>
      <w:tblPr>
        <w:tblStyle w:val="26"/>
        <w:tblW w:w="9147" w:type="dxa"/>
        <w:tblInd w:w="-3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4"/>
        <w:gridCol w:w="1200"/>
        <w:gridCol w:w="1093"/>
        <w:gridCol w:w="5073"/>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BFBFBF"/>
            <w:noWrap w:val="0"/>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BFBFBF"/>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评分项目</w:t>
            </w:r>
          </w:p>
        </w:tc>
        <w:tc>
          <w:tcPr>
            <w:tcW w:w="1093" w:type="dxa"/>
            <w:tcBorders>
              <w:top w:val="single" w:color="000000" w:sz="4" w:space="0"/>
              <w:left w:val="single" w:color="000000" w:sz="4" w:space="0"/>
              <w:bottom w:val="single" w:color="000000" w:sz="4" w:space="0"/>
              <w:right w:val="single" w:color="000000" w:sz="4" w:space="0"/>
            </w:tcBorders>
            <w:shd w:val="clear" w:color="auto" w:fill="BFBFBF"/>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kern w:val="0"/>
                <w:sz w:val="21"/>
                <w:szCs w:val="21"/>
                <w:u w:val="none"/>
                <w:lang w:val="en-US" w:eastAsia="zh-CN" w:bidi="ar"/>
              </w:rPr>
            </w:pPr>
            <w:r>
              <w:rPr>
                <w:rFonts w:hint="eastAsia" w:ascii="方正黑体_GBK" w:hAnsi="方正黑体_GBK" w:eastAsia="方正黑体_GBK" w:cs="方正黑体_GBK"/>
                <w:b/>
                <w:i w:val="0"/>
                <w:color w:val="000000"/>
                <w:kern w:val="0"/>
                <w:sz w:val="21"/>
                <w:szCs w:val="21"/>
                <w:u w:val="none"/>
                <w:lang w:val="en-US" w:eastAsia="zh-CN" w:bidi="ar"/>
              </w:rPr>
              <w:t>标准分</w:t>
            </w:r>
          </w:p>
        </w:tc>
        <w:tc>
          <w:tcPr>
            <w:tcW w:w="5073" w:type="dxa"/>
            <w:tcBorders>
              <w:top w:val="single" w:color="000000" w:sz="4" w:space="0"/>
              <w:left w:val="single" w:color="000000" w:sz="4" w:space="0"/>
              <w:bottom w:val="single" w:color="000000" w:sz="4" w:space="0"/>
              <w:right w:val="single" w:color="000000" w:sz="4" w:space="0"/>
            </w:tcBorders>
            <w:shd w:val="clear" w:color="auto" w:fill="BFBFBF"/>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评分标准</w:t>
            </w:r>
          </w:p>
        </w:tc>
        <w:tc>
          <w:tcPr>
            <w:tcW w:w="1127" w:type="dxa"/>
            <w:tcBorders>
              <w:top w:val="single" w:color="000000" w:sz="4" w:space="0"/>
              <w:left w:val="single" w:color="000000" w:sz="4" w:space="0"/>
              <w:bottom w:val="single" w:color="000000" w:sz="4" w:space="0"/>
              <w:right w:val="single" w:color="000000" w:sz="4" w:space="0"/>
            </w:tcBorders>
            <w:shd w:val="clear" w:color="auto" w:fill="BFBFBF"/>
            <w:noWrap w:val="0"/>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b/>
                <w:i w:val="0"/>
                <w:color w:val="000000"/>
                <w:kern w:val="0"/>
                <w:sz w:val="21"/>
                <w:szCs w:val="21"/>
                <w:u w:val="none"/>
                <w:lang w:val="en-US" w:eastAsia="zh-CN" w:bidi="ar"/>
              </w:rPr>
              <w:t>实得分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trPr>
        <w:tc>
          <w:tcPr>
            <w:tcW w:w="6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highlight w:val="none"/>
                <w:u w:val="none"/>
                <w:lang w:val="en-US" w:eastAsia="zh-CN" w:bidi="ar"/>
              </w:rPr>
              <w:t>综合实力</w:t>
            </w:r>
          </w:p>
        </w:tc>
        <w:tc>
          <w:tcPr>
            <w:tcW w:w="10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highlight w:val="none"/>
                <w:u w:val="none"/>
                <w:lang w:val="en-US" w:eastAsia="zh-CN" w:bidi="ar"/>
              </w:rPr>
            </w:pPr>
            <w:r>
              <w:rPr>
                <w:rFonts w:hint="eastAsia" w:ascii="方正楷体_GBK" w:hAnsi="方正楷体_GBK" w:eastAsia="方正楷体_GBK" w:cs="方正楷体_GBK"/>
                <w:i w:val="0"/>
                <w:color w:val="000000"/>
                <w:kern w:val="0"/>
                <w:sz w:val="21"/>
                <w:szCs w:val="21"/>
                <w:highlight w:val="none"/>
                <w:u w:val="none"/>
                <w:lang w:val="en-US" w:eastAsia="zh-CN" w:bidi="ar"/>
              </w:rPr>
              <w:t>10</w:t>
            </w:r>
          </w:p>
        </w:tc>
        <w:tc>
          <w:tcPr>
            <w:tcW w:w="50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满分10分，根据投标主体综合实力、承销团队和述标情况进行打分，无负面清单得满分。</w:t>
            </w:r>
          </w:p>
        </w:tc>
        <w:tc>
          <w:tcPr>
            <w:tcW w:w="11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3" w:hRule="atLeast"/>
        </w:trPr>
        <w:tc>
          <w:tcPr>
            <w:tcW w:w="6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承销费率</w:t>
            </w:r>
          </w:p>
        </w:tc>
        <w:tc>
          <w:tcPr>
            <w:tcW w:w="10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50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年承销费率以0.15%/年为基准，基础分值10分，每减少/增加0.01%（1bp/年），得分增加/减少0.5分，</w:t>
            </w:r>
            <w:r>
              <w:rPr>
                <w:rFonts w:ascii="仿宋_GB2312" w:hAnsi="仿宋_GB2312" w:eastAsia="仿宋_GB2312" w:cs="仿宋_GB2312"/>
                <w:szCs w:val="21"/>
              </w:rPr>
              <w:t>最高加分/减分不超过5分</w:t>
            </w:r>
            <w:r>
              <w:rPr>
                <w:rFonts w:hint="eastAsia" w:ascii="方正仿宋_GBK" w:hAnsi="方正仿宋_GBK" w:eastAsia="方正仿宋_GBK" w:cs="方正仿宋_GBK"/>
                <w:i w:val="0"/>
                <w:color w:val="000000"/>
                <w:kern w:val="0"/>
                <w:sz w:val="21"/>
                <w:szCs w:val="21"/>
                <w:u w:val="none"/>
                <w:lang w:val="en-US" w:eastAsia="zh-CN" w:bidi="ar"/>
              </w:rPr>
              <w:t>。</w:t>
            </w:r>
          </w:p>
        </w:tc>
        <w:tc>
          <w:tcPr>
            <w:tcW w:w="11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8" w:hRule="atLeast"/>
        </w:trPr>
        <w:tc>
          <w:tcPr>
            <w:tcW w:w="6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承销规模</w:t>
            </w:r>
          </w:p>
        </w:tc>
        <w:tc>
          <w:tcPr>
            <w:tcW w:w="10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30</w:t>
            </w:r>
          </w:p>
        </w:tc>
        <w:tc>
          <w:tcPr>
            <w:tcW w:w="50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80" w:lineRule="exact"/>
              <w:jc w:val="left"/>
              <w:textAlignment w:val="center"/>
              <w:rPr>
                <w:rFonts w:hint="eastAsia" w:ascii="方正仿宋_GBK" w:hAnsi="方正仿宋_GBK" w:eastAsia="方正仿宋_GBK" w:cs="方正仿宋_GBK"/>
                <w:bCs/>
                <w:color w:val="000000"/>
                <w:kern w:val="0"/>
                <w:sz w:val="21"/>
                <w:szCs w:val="21"/>
              </w:rPr>
            </w:pPr>
            <w:r>
              <w:rPr>
                <w:rStyle w:val="74"/>
                <w:rFonts w:hint="eastAsia" w:ascii="方正仿宋_GBK" w:hAnsi="方正仿宋_GBK" w:eastAsia="方正仿宋_GBK" w:cs="方正仿宋_GBK"/>
                <w:sz w:val="21"/>
                <w:szCs w:val="21"/>
              </w:rPr>
              <w:t>总承销业绩</w:t>
            </w:r>
            <w:r>
              <w:rPr>
                <w:rStyle w:val="74"/>
                <w:rFonts w:hint="eastAsia" w:ascii="方正仿宋_GBK" w:hAnsi="方正仿宋_GBK" w:eastAsia="方正仿宋_GBK" w:cs="方正仿宋_GBK"/>
                <w:b w:val="0"/>
                <w:bCs/>
                <w:sz w:val="21"/>
                <w:szCs w:val="21"/>
              </w:rPr>
              <w:t>：</w:t>
            </w:r>
            <w:r>
              <w:rPr>
                <w:rFonts w:hint="eastAsia" w:ascii="方正仿宋_GBK" w:hAnsi="方正仿宋_GBK" w:eastAsia="方正仿宋_GBK" w:cs="方正仿宋_GBK"/>
                <w:color w:val="000000"/>
                <w:sz w:val="21"/>
                <w:szCs w:val="21"/>
              </w:rPr>
              <w:t>以投标人202</w:t>
            </w:r>
            <w:r>
              <w:rPr>
                <w:rFonts w:hint="eastAsia" w:ascii="方正仿宋_GBK" w:hAnsi="方正仿宋_GBK" w:eastAsia="方正仿宋_GBK" w:cs="方正仿宋_GBK"/>
                <w:color w:val="000000"/>
                <w:sz w:val="21"/>
                <w:szCs w:val="21"/>
                <w:lang w:val="en-US" w:eastAsia="zh-CN"/>
              </w:rPr>
              <w:t>2</w:t>
            </w:r>
            <w:r>
              <w:rPr>
                <w:rFonts w:hint="eastAsia" w:ascii="方正仿宋_GBK" w:hAnsi="方正仿宋_GBK" w:eastAsia="方正仿宋_GBK" w:cs="方正仿宋_GBK"/>
                <w:color w:val="000000"/>
                <w:sz w:val="21"/>
                <w:szCs w:val="21"/>
              </w:rPr>
              <w:t>年</w:t>
            </w:r>
            <w:r>
              <w:rPr>
                <w:rFonts w:hint="eastAsia" w:ascii="方正仿宋_GBK" w:hAnsi="方正仿宋_GBK" w:eastAsia="方正仿宋_GBK" w:cs="方正仿宋_GBK"/>
                <w:color w:val="000000"/>
                <w:sz w:val="21"/>
                <w:szCs w:val="21"/>
                <w:lang w:val="en-US" w:eastAsia="zh-CN"/>
              </w:rPr>
              <w:t>全国范围内</w:t>
            </w:r>
            <w:r>
              <w:rPr>
                <w:rFonts w:hint="eastAsia" w:ascii="方正仿宋_GBK" w:hAnsi="方正仿宋_GBK" w:eastAsia="方正仿宋_GBK" w:cs="方正仿宋_GBK"/>
                <w:color w:val="000000"/>
                <w:sz w:val="21"/>
                <w:szCs w:val="21"/>
              </w:rPr>
              <w:t>债券承销</w:t>
            </w:r>
            <w:r>
              <w:rPr>
                <w:rFonts w:hint="eastAsia" w:ascii="方正仿宋_GBK" w:hAnsi="方正仿宋_GBK" w:eastAsia="方正仿宋_GBK" w:cs="方正仿宋_GBK"/>
                <w:color w:val="000000"/>
                <w:sz w:val="21"/>
                <w:szCs w:val="21"/>
                <w:lang w:val="en-US" w:eastAsia="zh-CN"/>
              </w:rPr>
              <w:t>规模</w:t>
            </w:r>
            <w:r>
              <w:rPr>
                <w:rFonts w:hint="eastAsia" w:ascii="方正仿宋_GBK" w:hAnsi="方正仿宋_GBK" w:eastAsia="方正仿宋_GBK" w:cs="方正仿宋_GBK"/>
                <w:color w:val="000000"/>
                <w:sz w:val="21"/>
                <w:szCs w:val="21"/>
              </w:rPr>
              <w:t>绝对排名为准，第1</w:t>
            </w:r>
            <w:r>
              <w:rPr>
                <w:rFonts w:hint="eastAsia" w:ascii="方正仿宋_GBK" w:hAnsi="方正仿宋_GBK" w:eastAsia="方正仿宋_GBK" w:cs="方正仿宋_GBK"/>
                <w:color w:val="000000"/>
                <w:sz w:val="21"/>
                <w:szCs w:val="21"/>
                <w:lang w:val="en-US" w:eastAsia="zh-CN"/>
              </w:rPr>
              <w:t>名</w:t>
            </w:r>
            <w:r>
              <w:rPr>
                <w:rFonts w:hint="eastAsia" w:ascii="方正仿宋_GBK" w:hAnsi="方正仿宋_GBK" w:eastAsia="方正仿宋_GBK" w:cs="方正仿宋_GBK"/>
                <w:color w:val="000000"/>
                <w:sz w:val="21"/>
                <w:szCs w:val="21"/>
              </w:rPr>
              <w:t>得1</w:t>
            </w:r>
            <w:r>
              <w:rPr>
                <w:rFonts w:hint="eastAsia" w:ascii="方正仿宋_GBK" w:hAnsi="方正仿宋_GBK" w:eastAsia="方正仿宋_GBK" w:cs="方正仿宋_GBK"/>
                <w:color w:val="000000"/>
                <w:sz w:val="21"/>
                <w:szCs w:val="21"/>
                <w:lang w:val="en-US" w:eastAsia="zh-CN"/>
              </w:rPr>
              <w:t>0</w:t>
            </w:r>
            <w:r>
              <w:rPr>
                <w:rFonts w:hint="eastAsia" w:ascii="方正仿宋_GBK" w:hAnsi="方正仿宋_GBK" w:eastAsia="方正仿宋_GBK" w:cs="方正仿宋_GBK"/>
                <w:color w:val="000000"/>
                <w:sz w:val="21"/>
                <w:szCs w:val="21"/>
              </w:rPr>
              <w:t>分，</w:t>
            </w:r>
            <w:r>
              <w:rPr>
                <w:rFonts w:hint="eastAsia" w:ascii="方正仿宋_GBK" w:hAnsi="方正仿宋_GBK" w:eastAsia="方正仿宋_GBK" w:cs="方正仿宋_GBK"/>
                <w:color w:val="000000"/>
                <w:sz w:val="21"/>
                <w:szCs w:val="21"/>
                <w:lang w:val="en-US" w:eastAsia="zh-CN"/>
              </w:rPr>
              <w:t>第2名得8分，依次每名降低2分，最低为0分</w:t>
            </w:r>
            <w:r>
              <w:rPr>
                <w:rFonts w:hint="eastAsia" w:ascii="方正仿宋_GBK" w:hAnsi="方正仿宋_GBK" w:eastAsia="方正仿宋_GBK" w:cs="方正仿宋_GBK"/>
                <w:color w:val="000000"/>
                <w:sz w:val="21"/>
                <w:szCs w:val="21"/>
              </w:rPr>
              <w:t>。（以Wind口径为准）</w:t>
            </w:r>
          </w:p>
          <w:p>
            <w:pPr>
              <w:widowControl/>
              <w:spacing w:line="280" w:lineRule="exact"/>
              <w:jc w:val="left"/>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b/>
                <w:color w:val="000000"/>
                <w:kern w:val="0"/>
                <w:sz w:val="21"/>
                <w:szCs w:val="21"/>
              </w:rPr>
              <w:t>地区承销业绩</w:t>
            </w:r>
            <w:r>
              <w:rPr>
                <w:rFonts w:hint="eastAsia" w:ascii="方正仿宋_GBK" w:hAnsi="方正仿宋_GBK" w:eastAsia="方正仿宋_GBK" w:cs="方正仿宋_GBK"/>
                <w:bCs/>
                <w:color w:val="000000"/>
                <w:kern w:val="0"/>
                <w:sz w:val="21"/>
                <w:szCs w:val="21"/>
              </w:rPr>
              <w:t>：</w:t>
            </w:r>
            <w:r>
              <w:rPr>
                <w:rFonts w:hint="eastAsia" w:ascii="方正仿宋_GBK" w:hAnsi="方正仿宋_GBK" w:eastAsia="方正仿宋_GBK" w:cs="方正仿宋_GBK"/>
                <w:color w:val="000000"/>
                <w:sz w:val="21"/>
                <w:szCs w:val="21"/>
              </w:rPr>
              <w:t>以投标人202</w:t>
            </w:r>
            <w:r>
              <w:rPr>
                <w:rFonts w:hint="eastAsia" w:ascii="方正仿宋_GBK" w:hAnsi="方正仿宋_GBK" w:eastAsia="方正仿宋_GBK" w:cs="方正仿宋_GBK"/>
                <w:color w:val="000000"/>
                <w:sz w:val="21"/>
                <w:szCs w:val="21"/>
                <w:lang w:val="en-US" w:eastAsia="zh-CN"/>
              </w:rPr>
              <w:t>2</w:t>
            </w:r>
            <w:r>
              <w:rPr>
                <w:rFonts w:hint="eastAsia" w:ascii="方正仿宋_GBK" w:hAnsi="方正仿宋_GBK" w:eastAsia="方正仿宋_GBK" w:cs="方正仿宋_GBK"/>
                <w:color w:val="000000"/>
                <w:sz w:val="21"/>
                <w:szCs w:val="21"/>
              </w:rPr>
              <w:t>年重庆</w:t>
            </w:r>
            <w:r>
              <w:rPr>
                <w:rFonts w:hint="eastAsia" w:ascii="方正仿宋_GBK" w:hAnsi="方正仿宋_GBK" w:eastAsia="方正仿宋_GBK" w:cs="方正仿宋_GBK"/>
                <w:color w:val="000000"/>
                <w:sz w:val="21"/>
                <w:szCs w:val="21"/>
                <w:lang w:val="en-US" w:eastAsia="zh-CN"/>
              </w:rPr>
              <w:t>区域内</w:t>
            </w:r>
            <w:r>
              <w:rPr>
                <w:rFonts w:hint="eastAsia" w:ascii="方正仿宋_GBK" w:hAnsi="方正仿宋_GBK" w:eastAsia="方正仿宋_GBK" w:cs="方正仿宋_GBK"/>
                <w:color w:val="000000"/>
                <w:sz w:val="21"/>
                <w:szCs w:val="21"/>
              </w:rPr>
              <w:t>债券</w:t>
            </w:r>
            <w:r>
              <w:rPr>
                <w:rFonts w:hint="eastAsia" w:ascii="方正仿宋_GBK" w:hAnsi="方正仿宋_GBK" w:eastAsia="方正仿宋_GBK" w:cs="方正仿宋_GBK"/>
                <w:color w:val="000000"/>
                <w:sz w:val="21"/>
                <w:szCs w:val="21"/>
                <w:lang w:val="en-US" w:eastAsia="zh-CN"/>
              </w:rPr>
              <w:t>承销</w:t>
            </w:r>
            <w:r>
              <w:rPr>
                <w:rFonts w:hint="eastAsia" w:ascii="方正仿宋_GBK" w:hAnsi="方正仿宋_GBK" w:eastAsia="方正仿宋_GBK" w:cs="方正仿宋_GBK"/>
                <w:color w:val="000000"/>
                <w:sz w:val="21"/>
                <w:szCs w:val="21"/>
              </w:rPr>
              <w:t>规模绝对排名为准，第1</w:t>
            </w:r>
            <w:r>
              <w:rPr>
                <w:rFonts w:hint="eastAsia" w:ascii="方正仿宋_GBK" w:hAnsi="方正仿宋_GBK" w:eastAsia="方正仿宋_GBK" w:cs="方正仿宋_GBK"/>
                <w:color w:val="000000"/>
                <w:sz w:val="21"/>
                <w:szCs w:val="21"/>
                <w:lang w:val="en-US" w:eastAsia="zh-CN"/>
              </w:rPr>
              <w:t>名</w:t>
            </w:r>
            <w:r>
              <w:rPr>
                <w:rFonts w:hint="eastAsia" w:ascii="方正仿宋_GBK" w:hAnsi="方正仿宋_GBK" w:eastAsia="方正仿宋_GBK" w:cs="方正仿宋_GBK"/>
                <w:color w:val="000000"/>
                <w:sz w:val="21"/>
                <w:szCs w:val="21"/>
              </w:rPr>
              <w:t>得1</w:t>
            </w:r>
            <w:r>
              <w:rPr>
                <w:rFonts w:hint="eastAsia" w:ascii="方正仿宋_GBK" w:hAnsi="方正仿宋_GBK" w:eastAsia="方正仿宋_GBK" w:cs="方正仿宋_GBK"/>
                <w:color w:val="000000"/>
                <w:sz w:val="21"/>
                <w:szCs w:val="21"/>
                <w:lang w:val="en-US" w:eastAsia="zh-CN"/>
              </w:rPr>
              <w:t>0</w:t>
            </w:r>
            <w:r>
              <w:rPr>
                <w:rFonts w:hint="eastAsia" w:ascii="方正仿宋_GBK" w:hAnsi="方正仿宋_GBK" w:eastAsia="方正仿宋_GBK" w:cs="方正仿宋_GBK"/>
                <w:color w:val="000000"/>
                <w:sz w:val="21"/>
                <w:szCs w:val="21"/>
              </w:rPr>
              <w:t>分，</w:t>
            </w:r>
            <w:r>
              <w:rPr>
                <w:rFonts w:hint="eastAsia" w:ascii="方正仿宋_GBK" w:hAnsi="方正仿宋_GBK" w:eastAsia="方正仿宋_GBK" w:cs="方正仿宋_GBK"/>
                <w:color w:val="000000"/>
                <w:sz w:val="21"/>
                <w:szCs w:val="21"/>
                <w:lang w:val="en-US" w:eastAsia="zh-CN"/>
              </w:rPr>
              <w:t>第2名得8分，依次每名降低2分，最低为0分</w:t>
            </w:r>
            <w:r>
              <w:rPr>
                <w:rFonts w:hint="eastAsia" w:ascii="方正仿宋_GBK" w:hAnsi="方正仿宋_GBK" w:eastAsia="方正仿宋_GBK" w:cs="方正仿宋_GBK"/>
                <w:color w:val="000000"/>
                <w:sz w:val="21"/>
                <w:szCs w:val="21"/>
              </w:rPr>
              <w:t>。（以Wind口径为准）</w:t>
            </w:r>
          </w:p>
          <w:p>
            <w:pPr>
              <w:widowControl/>
              <w:spacing w:line="280" w:lineRule="exact"/>
              <w:jc w:val="left"/>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b/>
                <w:color w:val="000000"/>
                <w:kern w:val="0"/>
                <w:sz w:val="21"/>
                <w:szCs w:val="21"/>
              </w:rPr>
              <w:t>地区</w:t>
            </w:r>
            <w:r>
              <w:rPr>
                <w:rFonts w:hint="eastAsia" w:ascii="方正仿宋_GBK" w:hAnsi="方正仿宋_GBK" w:eastAsia="方正仿宋_GBK" w:cs="方正仿宋_GBK"/>
                <w:b/>
                <w:color w:val="000000"/>
                <w:kern w:val="0"/>
                <w:sz w:val="21"/>
                <w:szCs w:val="21"/>
                <w:lang w:val="en-US" w:eastAsia="zh-CN"/>
              </w:rPr>
              <w:t>短融</w:t>
            </w:r>
            <w:r>
              <w:rPr>
                <w:rFonts w:hint="eastAsia" w:ascii="方正仿宋_GBK" w:hAnsi="方正仿宋_GBK" w:eastAsia="方正仿宋_GBK" w:cs="方正仿宋_GBK"/>
                <w:b/>
                <w:color w:val="000000"/>
                <w:kern w:val="0"/>
                <w:sz w:val="21"/>
                <w:szCs w:val="21"/>
              </w:rPr>
              <w:t>承销业绩</w:t>
            </w:r>
            <w:r>
              <w:rPr>
                <w:rFonts w:hint="eastAsia" w:ascii="方正仿宋_GBK" w:hAnsi="方正仿宋_GBK" w:eastAsia="方正仿宋_GBK" w:cs="方正仿宋_GBK"/>
                <w:bCs/>
                <w:color w:val="000000"/>
                <w:kern w:val="0"/>
                <w:sz w:val="21"/>
                <w:szCs w:val="21"/>
              </w:rPr>
              <w:t>：</w:t>
            </w:r>
            <w:r>
              <w:rPr>
                <w:rFonts w:hint="eastAsia" w:ascii="方正仿宋_GBK" w:hAnsi="方正仿宋_GBK" w:eastAsia="方正仿宋_GBK" w:cs="方正仿宋_GBK"/>
                <w:color w:val="000000"/>
                <w:sz w:val="21"/>
                <w:szCs w:val="21"/>
              </w:rPr>
              <w:t>以投标人202</w:t>
            </w:r>
            <w:r>
              <w:rPr>
                <w:rFonts w:hint="eastAsia" w:ascii="方正仿宋_GBK" w:hAnsi="方正仿宋_GBK" w:eastAsia="方正仿宋_GBK" w:cs="方正仿宋_GBK"/>
                <w:color w:val="000000"/>
                <w:sz w:val="21"/>
                <w:szCs w:val="21"/>
                <w:lang w:val="en-US" w:eastAsia="zh-CN"/>
              </w:rPr>
              <w:t>2</w:t>
            </w:r>
            <w:r>
              <w:rPr>
                <w:rFonts w:hint="eastAsia" w:ascii="方正仿宋_GBK" w:hAnsi="方正仿宋_GBK" w:eastAsia="方正仿宋_GBK" w:cs="方正仿宋_GBK"/>
                <w:color w:val="000000"/>
                <w:sz w:val="21"/>
                <w:szCs w:val="21"/>
              </w:rPr>
              <w:t>年</w:t>
            </w:r>
            <w:r>
              <w:rPr>
                <w:rFonts w:hint="eastAsia" w:ascii="方正仿宋_GBK" w:hAnsi="方正仿宋_GBK" w:eastAsia="方正仿宋_GBK" w:cs="方正仿宋_GBK"/>
                <w:color w:val="000000"/>
                <w:sz w:val="21"/>
                <w:szCs w:val="21"/>
                <w:lang w:val="en-US" w:eastAsia="zh-CN"/>
              </w:rPr>
              <w:t>沙坪坝区内短融（包括超短融）承销</w:t>
            </w:r>
            <w:r>
              <w:rPr>
                <w:rFonts w:hint="eastAsia" w:ascii="方正仿宋_GBK" w:hAnsi="方正仿宋_GBK" w:eastAsia="方正仿宋_GBK" w:cs="方正仿宋_GBK"/>
                <w:color w:val="000000"/>
                <w:sz w:val="21"/>
                <w:szCs w:val="21"/>
              </w:rPr>
              <w:t>规模绝对排名为准，第1</w:t>
            </w:r>
            <w:r>
              <w:rPr>
                <w:rFonts w:hint="eastAsia" w:ascii="方正仿宋_GBK" w:hAnsi="方正仿宋_GBK" w:eastAsia="方正仿宋_GBK" w:cs="方正仿宋_GBK"/>
                <w:color w:val="000000"/>
                <w:sz w:val="21"/>
                <w:szCs w:val="21"/>
                <w:lang w:val="en-US" w:eastAsia="zh-CN"/>
              </w:rPr>
              <w:t>名</w:t>
            </w:r>
            <w:r>
              <w:rPr>
                <w:rFonts w:hint="eastAsia" w:ascii="方正仿宋_GBK" w:hAnsi="方正仿宋_GBK" w:eastAsia="方正仿宋_GBK" w:cs="方正仿宋_GBK"/>
                <w:color w:val="000000"/>
                <w:sz w:val="21"/>
                <w:szCs w:val="21"/>
              </w:rPr>
              <w:t>得1</w:t>
            </w:r>
            <w:r>
              <w:rPr>
                <w:rFonts w:hint="eastAsia" w:ascii="方正仿宋_GBK" w:hAnsi="方正仿宋_GBK" w:eastAsia="方正仿宋_GBK" w:cs="方正仿宋_GBK"/>
                <w:color w:val="000000"/>
                <w:sz w:val="21"/>
                <w:szCs w:val="21"/>
                <w:lang w:val="en-US" w:eastAsia="zh-CN"/>
              </w:rPr>
              <w:t>0</w:t>
            </w:r>
            <w:r>
              <w:rPr>
                <w:rFonts w:hint="eastAsia" w:ascii="方正仿宋_GBK" w:hAnsi="方正仿宋_GBK" w:eastAsia="方正仿宋_GBK" w:cs="方正仿宋_GBK"/>
                <w:color w:val="000000"/>
                <w:sz w:val="21"/>
                <w:szCs w:val="21"/>
              </w:rPr>
              <w:t>分，</w:t>
            </w:r>
            <w:r>
              <w:rPr>
                <w:rFonts w:hint="eastAsia" w:ascii="方正仿宋_GBK" w:hAnsi="方正仿宋_GBK" w:eastAsia="方正仿宋_GBK" w:cs="方正仿宋_GBK"/>
                <w:color w:val="000000"/>
                <w:sz w:val="21"/>
                <w:szCs w:val="21"/>
                <w:lang w:val="en-US" w:eastAsia="zh-CN"/>
              </w:rPr>
              <w:t>第2名得8分，依次每名降低2分，最低为0分</w:t>
            </w:r>
            <w:r>
              <w:rPr>
                <w:rFonts w:hint="eastAsia" w:ascii="方正仿宋_GBK" w:hAnsi="方正仿宋_GBK" w:eastAsia="方正仿宋_GBK" w:cs="方正仿宋_GBK"/>
                <w:color w:val="000000"/>
                <w:sz w:val="21"/>
                <w:szCs w:val="21"/>
              </w:rPr>
              <w:t>。（以Wind口径为准）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bCs/>
                <w:sz w:val="21"/>
                <w:szCs w:val="21"/>
              </w:rPr>
              <w:t>注：联合体投标的，以联合体牵头人业绩为准。</w:t>
            </w:r>
            <w:r>
              <w:rPr>
                <w:rStyle w:val="73"/>
                <w:rFonts w:hint="eastAsia" w:ascii="方正仿宋_GBK" w:hAnsi="方正仿宋_GBK" w:eastAsia="方正仿宋_GBK" w:cs="方正仿宋_GBK"/>
                <w:b w:val="0"/>
                <w:bCs/>
                <w:sz w:val="21"/>
                <w:szCs w:val="21"/>
                <w:lang w:val="en-US" w:eastAsia="zh-CN" w:bidi="ar"/>
              </w:rPr>
              <w:t xml:space="preserve"> </w:t>
            </w:r>
            <w:r>
              <w:rPr>
                <w:rStyle w:val="73"/>
                <w:sz w:val="21"/>
                <w:szCs w:val="21"/>
                <w:lang w:val="en-US" w:eastAsia="zh-CN" w:bidi="ar"/>
              </w:rPr>
              <w:t xml:space="preserve">                                   </w:t>
            </w:r>
          </w:p>
        </w:tc>
        <w:tc>
          <w:tcPr>
            <w:tcW w:w="11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630" w:firstLineChars="300"/>
              <w:jc w:val="left"/>
              <w:textAlignment w:val="center"/>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2" w:hRule="atLeast"/>
        </w:trPr>
        <w:tc>
          <w:tcPr>
            <w:tcW w:w="6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发行方案</w:t>
            </w:r>
          </w:p>
        </w:tc>
        <w:tc>
          <w:tcPr>
            <w:tcW w:w="10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20</w:t>
            </w:r>
          </w:p>
        </w:tc>
        <w:tc>
          <w:tcPr>
            <w:tcW w:w="50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投标人针对公司基本情况和沙区财政实力拟定发行方案，方案中应对发行工作安排、发行规模、期限、增信措施、预期发行价格和计息方式进行详细描述，并提出分析测算依据。</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zh-CN" w:eastAsia="zh-CN" w:bidi="ar"/>
              </w:rPr>
              <w:t>（</w:t>
            </w:r>
            <w:r>
              <w:rPr>
                <w:rFonts w:hint="eastAsia" w:ascii="方正仿宋_GBK" w:hAnsi="方正仿宋_GBK" w:eastAsia="方正仿宋_GBK" w:cs="方正仿宋_GBK"/>
                <w:i w:val="0"/>
                <w:color w:val="000000"/>
                <w:kern w:val="0"/>
                <w:sz w:val="21"/>
                <w:szCs w:val="21"/>
                <w:u w:val="none"/>
                <w:lang w:val="en-US" w:eastAsia="zh-CN" w:bidi="ar"/>
              </w:rPr>
              <w:t>1</w:t>
            </w:r>
            <w:r>
              <w:rPr>
                <w:rFonts w:hint="eastAsia" w:ascii="方正仿宋_GBK" w:hAnsi="方正仿宋_GBK" w:eastAsia="方正仿宋_GBK" w:cs="方正仿宋_GBK"/>
                <w:i w:val="0"/>
                <w:color w:val="000000"/>
                <w:kern w:val="0"/>
                <w:sz w:val="21"/>
                <w:szCs w:val="21"/>
                <w:u w:val="none"/>
                <w:lang w:val="zh-CN" w:eastAsia="zh-CN" w:bidi="ar"/>
              </w:rPr>
              <w:t>）方案设计合理可行、时间安排紧凑、取得注册通知书周期短、工作安排明确、人员分工明确</w:t>
            </w:r>
            <w:r>
              <w:rPr>
                <w:rFonts w:hint="eastAsia" w:ascii="方正仿宋_GBK" w:hAnsi="方正仿宋_GBK" w:eastAsia="方正仿宋_GBK" w:cs="方正仿宋_GBK"/>
                <w:i w:val="0"/>
                <w:color w:val="000000"/>
                <w:kern w:val="0"/>
                <w:sz w:val="21"/>
                <w:szCs w:val="21"/>
                <w:u w:val="none"/>
                <w:lang w:val="en-US" w:eastAsia="zh-CN" w:bidi="ar"/>
              </w:rPr>
              <w:t>。</w:t>
            </w:r>
            <w:r>
              <w:rPr>
                <w:rFonts w:hint="eastAsia" w:ascii="方正仿宋_GBK" w:hAnsi="方正仿宋_GBK" w:eastAsia="方正仿宋_GBK" w:cs="方正仿宋_GBK"/>
                <w:i w:val="0"/>
                <w:color w:val="000000"/>
                <w:kern w:val="0"/>
                <w:sz w:val="21"/>
                <w:szCs w:val="21"/>
                <w:u w:val="none"/>
                <w:lang w:val="zh-CN" w:eastAsia="zh-CN" w:bidi="ar"/>
              </w:rPr>
              <w:t>整体方案设计合理、可行的得</w:t>
            </w:r>
            <w:r>
              <w:rPr>
                <w:rFonts w:hint="eastAsia" w:ascii="方正仿宋_GBK" w:hAnsi="方正仿宋_GBK" w:eastAsia="方正仿宋_GBK" w:cs="方正仿宋_GBK"/>
                <w:i w:val="0"/>
                <w:color w:val="000000"/>
                <w:kern w:val="0"/>
                <w:sz w:val="21"/>
                <w:szCs w:val="21"/>
                <w:u w:val="none"/>
                <w:lang w:val="en-US" w:eastAsia="zh-CN" w:bidi="ar"/>
              </w:rPr>
              <w:t>10分，基本合理、较为可行的得7分，不合理的得1分，</w:t>
            </w:r>
            <w:r>
              <w:rPr>
                <w:rFonts w:hint="eastAsia" w:ascii="方正仿宋_GBK" w:hAnsi="方正仿宋_GBK" w:eastAsia="方正仿宋_GBK" w:cs="方正仿宋_GBK"/>
                <w:i w:val="0"/>
                <w:color w:val="000000"/>
                <w:kern w:val="0"/>
                <w:sz w:val="21"/>
                <w:szCs w:val="21"/>
                <w:u w:val="none"/>
                <w:lang w:val="zh-CN" w:eastAsia="zh-CN" w:bidi="ar"/>
              </w:rPr>
              <w:t>此项满分</w:t>
            </w:r>
            <w:r>
              <w:rPr>
                <w:rFonts w:hint="eastAsia" w:ascii="方正仿宋_GBK" w:hAnsi="方正仿宋_GBK" w:eastAsia="方正仿宋_GBK" w:cs="方正仿宋_GBK"/>
                <w:i w:val="0"/>
                <w:color w:val="000000"/>
                <w:kern w:val="0"/>
                <w:sz w:val="21"/>
                <w:szCs w:val="21"/>
                <w:u w:val="none"/>
                <w:lang w:val="en-US" w:eastAsia="zh-CN" w:bidi="ar"/>
              </w:rPr>
              <w:t>10分；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rPr>
            </w:pPr>
            <w:r>
              <w:rPr>
                <w:rFonts w:hint="eastAsia" w:ascii="方正仿宋_GBK" w:hAnsi="方正仿宋_GBK" w:eastAsia="方正仿宋_GBK" w:cs="方正仿宋_GBK"/>
                <w:i w:val="0"/>
                <w:color w:val="000000"/>
                <w:kern w:val="0"/>
                <w:sz w:val="21"/>
                <w:szCs w:val="21"/>
                <w:u w:val="none"/>
                <w:lang w:val="en-US" w:eastAsia="zh-CN" w:bidi="ar"/>
              </w:rPr>
              <w:t>（2）工作内容全面性（包括但不限于整体承销方案、发行利率定价安排、核心发行募集条款设计、承销实力和能力等）。工作内容全面、可行的得10分，工作内容较为全面、可行的得7分，工作内容缺失、不可行的得1分，此项满分10分；</w:t>
            </w:r>
          </w:p>
        </w:tc>
        <w:tc>
          <w:tcPr>
            <w:tcW w:w="11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 w:hRule="atLeast"/>
        </w:trPr>
        <w:tc>
          <w:tcPr>
            <w:tcW w:w="6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lang w:val="en-US" w:eastAsia="zh-CN"/>
              </w:rPr>
            </w:pPr>
            <w:r>
              <w:rPr>
                <w:rFonts w:hint="eastAsia" w:ascii="方正楷体_GBK" w:hAnsi="方正楷体_GBK" w:eastAsia="方正楷体_GBK" w:cs="方正楷体_GBK"/>
                <w:i w:val="0"/>
                <w:color w:val="000000"/>
                <w:sz w:val="21"/>
                <w:szCs w:val="21"/>
                <w:u w:val="none"/>
                <w:lang w:val="en-US" w:eastAsia="zh-CN"/>
              </w:rPr>
              <w:t>5</w:t>
            </w: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承诺认购金额</w:t>
            </w:r>
          </w:p>
        </w:tc>
        <w:tc>
          <w:tcPr>
            <w:tcW w:w="10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20</w:t>
            </w:r>
          </w:p>
        </w:tc>
        <w:tc>
          <w:tcPr>
            <w:tcW w:w="50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tabs>
                <w:tab w:val="left" w:pos="2300"/>
              </w:tabs>
              <w:autoSpaceDE w:val="0"/>
              <w:autoSpaceDN w:val="0"/>
              <w:adjustRightInd w:val="0"/>
              <w:snapToGrid w:val="0"/>
              <w:rPr>
                <w:rFonts w:eastAsia="仿宋_GB2312"/>
                <w:bCs/>
                <w:szCs w:val="21"/>
              </w:rPr>
            </w:pPr>
            <w:r>
              <w:rPr>
                <w:rFonts w:eastAsia="仿宋_GB2312"/>
                <w:bCs/>
                <w:szCs w:val="21"/>
              </w:rPr>
              <w:t>根据</w:t>
            </w:r>
            <w:r>
              <w:rPr>
                <w:rFonts w:hint="eastAsia" w:eastAsia="仿宋_GB2312"/>
                <w:bCs/>
                <w:szCs w:val="21"/>
                <w:lang w:eastAsia="zh-CN"/>
              </w:rPr>
              <w:t>投标</w:t>
            </w:r>
            <w:r>
              <w:rPr>
                <w:rFonts w:eastAsia="仿宋_GB2312"/>
                <w:bCs/>
                <w:szCs w:val="21"/>
              </w:rPr>
              <w:t>人对本次债券</w:t>
            </w:r>
            <w:r>
              <w:rPr>
                <w:rFonts w:hint="eastAsia" w:eastAsia="仿宋_GB2312"/>
                <w:bCs/>
                <w:szCs w:val="21"/>
                <w:lang w:eastAsia="zh-CN"/>
              </w:rPr>
              <w:t>承诺</w:t>
            </w:r>
            <w:r>
              <w:rPr>
                <w:rFonts w:eastAsia="仿宋_GB2312"/>
                <w:bCs/>
                <w:szCs w:val="21"/>
              </w:rPr>
              <w:t>认购金额进行排名，列表第一名得</w:t>
            </w:r>
            <w:r>
              <w:rPr>
                <w:rFonts w:hint="eastAsia" w:eastAsia="仿宋_GB2312"/>
                <w:bCs/>
                <w:szCs w:val="21"/>
                <w:lang w:val="en-US" w:eastAsia="zh-CN"/>
              </w:rPr>
              <w:t>2</w:t>
            </w:r>
            <w:r>
              <w:rPr>
                <w:rFonts w:eastAsia="仿宋_GB2312"/>
                <w:bCs/>
                <w:szCs w:val="21"/>
              </w:rPr>
              <w:t>0分，顺延往后一名减</w:t>
            </w:r>
            <w:r>
              <w:rPr>
                <w:rFonts w:hint="eastAsia" w:eastAsia="仿宋_GB2312"/>
                <w:bCs/>
                <w:szCs w:val="21"/>
              </w:rPr>
              <w:t>2</w:t>
            </w:r>
            <w:r>
              <w:rPr>
                <w:rFonts w:eastAsia="仿宋_GB2312"/>
                <w:bCs/>
                <w:szCs w:val="21"/>
              </w:rPr>
              <w:t>分，扣至0分为止，未</w:t>
            </w:r>
            <w:r>
              <w:rPr>
                <w:rFonts w:hint="eastAsia" w:eastAsia="仿宋_GB2312"/>
                <w:bCs/>
                <w:szCs w:val="21"/>
                <w:lang w:eastAsia="zh-CN"/>
              </w:rPr>
              <w:t>承诺</w:t>
            </w:r>
            <w:r>
              <w:rPr>
                <w:rFonts w:eastAsia="仿宋_GB2312"/>
                <w:bCs/>
                <w:szCs w:val="21"/>
              </w:rPr>
              <w:t>认购得0分。</w:t>
            </w:r>
          </w:p>
          <w:p>
            <w:pPr>
              <w:widowControl/>
              <w:spacing w:line="280" w:lineRule="exact"/>
              <w:jc w:val="center"/>
              <w:textAlignment w:val="center"/>
              <w:rPr>
                <w:rFonts w:hint="eastAsia" w:ascii="方正仿宋_GBK" w:hAnsi="方正仿宋_GBK" w:eastAsia="方正仿宋_GBK" w:cs="方正仿宋_GBK"/>
                <w:i w:val="0"/>
                <w:color w:val="000000"/>
                <w:sz w:val="21"/>
                <w:szCs w:val="21"/>
                <w:u w:val="none"/>
                <w:lang w:val="en-US"/>
              </w:rPr>
            </w:pPr>
            <w:r>
              <w:rPr>
                <w:rFonts w:eastAsia="仿宋_GB2312"/>
                <w:b/>
                <w:szCs w:val="21"/>
              </w:rPr>
              <w:t>注：</w:t>
            </w:r>
            <w:r>
              <w:rPr>
                <w:rFonts w:hint="eastAsia" w:eastAsia="仿宋_GB2312"/>
                <w:b/>
                <w:szCs w:val="21"/>
                <w:lang w:eastAsia="zh-CN"/>
              </w:rPr>
              <w:t>承诺认购证明文件包括授信批复及承诺函等。</w:t>
            </w:r>
            <w:r>
              <w:rPr>
                <w:rFonts w:eastAsia="仿宋_GB2312"/>
                <w:b/>
                <w:szCs w:val="21"/>
              </w:rPr>
              <w:t>若入围后未按</w:t>
            </w:r>
            <w:r>
              <w:rPr>
                <w:rFonts w:hint="eastAsia" w:eastAsia="仿宋_GB2312"/>
                <w:b/>
                <w:szCs w:val="21"/>
              </w:rPr>
              <w:t>申报金额认购</w:t>
            </w:r>
            <w:r>
              <w:rPr>
                <w:rFonts w:eastAsia="仿宋_GB2312"/>
                <w:b/>
                <w:szCs w:val="21"/>
              </w:rPr>
              <w:t>本次债券的承销商，将列入</w:t>
            </w:r>
            <w:r>
              <w:rPr>
                <w:rFonts w:hint="eastAsia" w:eastAsia="仿宋_GB2312"/>
                <w:b/>
                <w:szCs w:val="21"/>
              </w:rPr>
              <w:t>公司</w:t>
            </w:r>
            <w:r>
              <w:rPr>
                <w:rFonts w:eastAsia="仿宋_GB2312"/>
                <w:b/>
                <w:szCs w:val="21"/>
              </w:rPr>
              <w:t>债券发行承销商黑名单，</w:t>
            </w:r>
            <w:r>
              <w:rPr>
                <w:rFonts w:hint="eastAsia" w:eastAsia="仿宋_GB2312"/>
                <w:b/>
                <w:szCs w:val="21"/>
              </w:rPr>
              <w:t>未来1年</w:t>
            </w:r>
            <w:r>
              <w:rPr>
                <w:rFonts w:eastAsia="仿宋_GB2312"/>
                <w:b/>
                <w:szCs w:val="21"/>
              </w:rPr>
              <w:t>不再邀请该</w:t>
            </w:r>
            <w:r>
              <w:rPr>
                <w:rFonts w:hint="eastAsia" w:eastAsia="仿宋_GB2312"/>
                <w:b/>
                <w:szCs w:val="21"/>
              </w:rPr>
              <w:t>承销商</w:t>
            </w:r>
            <w:r>
              <w:rPr>
                <w:rFonts w:eastAsia="仿宋_GB2312"/>
                <w:b/>
                <w:szCs w:val="21"/>
              </w:rPr>
              <w:t>参与</w:t>
            </w:r>
            <w:r>
              <w:rPr>
                <w:rFonts w:hint="eastAsia" w:eastAsia="仿宋_GB2312"/>
                <w:b/>
                <w:szCs w:val="21"/>
              </w:rPr>
              <w:t>本公司</w:t>
            </w:r>
            <w:r>
              <w:rPr>
                <w:rFonts w:eastAsia="仿宋_GB2312"/>
                <w:b/>
                <w:szCs w:val="21"/>
              </w:rPr>
              <w:t>债券的承销评选。</w:t>
            </w:r>
          </w:p>
        </w:tc>
        <w:tc>
          <w:tcPr>
            <w:tcW w:w="11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sz w:val="21"/>
                <w:szCs w:val="21"/>
                <w:u w:val="none"/>
              </w:rPr>
            </w:pPr>
            <w:r>
              <w:rPr>
                <w:rFonts w:hint="eastAsia" w:ascii="方正楷体_GBK" w:hAnsi="方正楷体_GBK" w:eastAsia="方正楷体_GBK" w:cs="方正楷体_GBK"/>
                <w:i w:val="0"/>
                <w:color w:val="000000"/>
                <w:kern w:val="0"/>
                <w:sz w:val="21"/>
                <w:szCs w:val="21"/>
                <w:u w:val="none"/>
                <w:lang w:val="en-US" w:eastAsia="zh-CN" w:bidi="ar"/>
              </w:rPr>
              <w:t>历史支持情况</w:t>
            </w:r>
          </w:p>
        </w:tc>
        <w:tc>
          <w:tcPr>
            <w:tcW w:w="10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楷体_GBK" w:hAnsi="方正楷体_GBK" w:eastAsia="方正楷体_GBK" w:cs="方正楷体_GBK"/>
                <w:i w:val="0"/>
                <w:color w:val="000000"/>
                <w:kern w:val="0"/>
                <w:sz w:val="21"/>
                <w:szCs w:val="21"/>
                <w:u w:val="none"/>
                <w:lang w:val="en-US" w:eastAsia="zh-CN" w:bidi="ar"/>
              </w:rPr>
            </w:pPr>
            <w:r>
              <w:rPr>
                <w:rFonts w:hint="eastAsia" w:ascii="方正楷体_GBK" w:hAnsi="方正楷体_GBK" w:eastAsia="方正楷体_GBK" w:cs="方正楷体_GBK"/>
                <w:i w:val="0"/>
                <w:color w:val="000000"/>
                <w:kern w:val="0"/>
                <w:sz w:val="21"/>
                <w:szCs w:val="21"/>
                <w:u w:val="none"/>
                <w:lang w:val="en-US" w:eastAsia="zh-CN" w:bidi="ar"/>
              </w:rPr>
              <w:t>10</w:t>
            </w:r>
          </w:p>
        </w:tc>
        <w:tc>
          <w:tcPr>
            <w:tcW w:w="507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方正仿宋_GBK" w:hAnsi="方正仿宋_GBK" w:eastAsia="方正仿宋_GBK" w:cs="方正仿宋_GBK"/>
                <w:i w:val="0"/>
                <w:color w:val="000000"/>
                <w:sz w:val="21"/>
                <w:szCs w:val="21"/>
                <w:u w:val="none"/>
                <w:lang w:val="en-US"/>
              </w:rPr>
            </w:pPr>
            <w:r>
              <w:rPr>
                <w:rFonts w:hint="eastAsia" w:ascii="方正仿宋_GBK" w:hAnsi="方正仿宋_GBK" w:eastAsia="方正仿宋_GBK" w:cs="方正仿宋_GBK"/>
                <w:i w:val="0"/>
                <w:color w:val="000000"/>
                <w:kern w:val="0"/>
                <w:sz w:val="21"/>
                <w:szCs w:val="21"/>
                <w:u w:val="none"/>
                <w:lang w:val="en-US" w:eastAsia="zh-CN" w:bidi="ar"/>
              </w:rPr>
              <w:t>历史认购共享工投公司债券金额以0为基准，按1亿元及其整数倍递增，每增加1亿元，得分增加2分，最高不超过10分。</w:t>
            </w:r>
          </w:p>
        </w:tc>
        <w:tc>
          <w:tcPr>
            <w:tcW w:w="11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outlineLvl w:val="9"/>
              <w:rPr>
                <w:rFonts w:hint="eastAsia" w:ascii="方正仿宋_GBK" w:hAnsi="方正仿宋_GBK" w:eastAsia="方正仿宋_GBK" w:cs="方正仿宋_GBK"/>
                <w:i w:val="0"/>
                <w:color w:val="000000"/>
                <w:sz w:val="21"/>
                <w:szCs w:val="21"/>
                <w:u w:val="none"/>
                <w:lang w:val="en-US" w:eastAsia="zh-CN"/>
              </w:rPr>
            </w:pPr>
          </w:p>
        </w:tc>
      </w:tr>
    </w:tbl>
    <w:p>
      <w:r>
        <w:rPr>
          <w:rFonts w:hint="eastAsia" w:ascii="仿宋" w:hAnsi="仿宋" w:eastAsia="仿宋" w:cs="仿宋"/>
          <w:bCs/>
          <w:szCs w:val="21"/>
        </w:rPr>
        <w:t>注：以上评分涉及w</w:t>
      </w:r>
      <w:r>
        <w:rPr>
          <w:rFonts w:ascii="仿宋" w:hAnsi="仿宋" w:eastAsia="仿宋" w:cs="仿宋"/>
          <w:bCs/>
          <w:szCs w:val="21"/>
        </w:rPr>
        <w:t>ind</w:t>
      </w:r>
      <w:r>
        <w:rPr>
          <w:rFonts w:hint="eastAsia" w:ascii="仿宋" w:hAnsi="仿宋" w:eastAsia="仿宋" w:cs="仿宋"/>
          <w:bCs/>
          <w:szCs w:val="21"/>
        </w:rPr>
        <w:t>信息查询的，均需提供相应截图作为佐证材料。</w:t>
      </w:r>
    </w:p>
    <w:p>
      <w:pPr>
        <w:pStyle w:val="5"/>
        <w:ind w:left="360" w:hanging="360" w:hangingChars="200"/>
        <w:rPr>
          <w:rFonts w:hint="eastAsia" w:ascii="仿宋" w:hAnsi="仿宋" w:eastAsia="仿宋" w:cs="仿宋"/>
          <w:b w:val="0"/>
          <w:bCs/>
          <w:sz w:val="18"/>
          <w:szCs w:val="18"/>
          <w:lang w:eastAsia="zh-CN"/>
        </w:rPr>
      </w:pPr>
      <w:r>
        <w:rPr>
          <w:rFonts w:hint="eastAsia" w:ascii="仿宋" w:hAnsi="仿宋" w:eastAsia="仿宋" w:cs="仿宋"/>
          <w:b w:val="0"/>
          <w:bCs/>
          <w:sz w:val="18"/>
          <w:szCs w:val="18"/>
          <w:lang w:eastAsia="zh-CN"/>
        </w:rPr>
        <w:t xml:space="preserve">                                                                                                                                                                                                                                                                                                     </w:t>
      </w:r>
    </w:p>
    <w:p>
      <w:pPr>
        <w:rPr>
          <w:rFonts w:hint="eastAsia"/>
          <w:lang w:eastAsia="zh-CN"/>
        </w:rPr>
      </w:pPr>
    </w:p>
    <w:p>
      <w:pPr>
        <w:pStyle w:val="2"/>
        <w:rPr>
          <w:rFonts w:hint="eastAsia"/>
          <w:lang w:eastAsia="zh-CN"/>
        </w:rPr>
      </w:pPr>
    </w:p>
    <w:p>
      <w:pPr>
        <w:numPr>
          <w:ilvl w:val="0"/>
          <w:numId w:val="1"/>
        </w:numPr>
        <w:spacing w:line="360" w:lineRule="auto"/>
        <w:jc w:val="center"/>
        <w:rPr>
          <w:rFonts w:ascii="仿宋_GB2312" w:hAnsi="宋体" w:eastAsia="仿宋_GB2312"/>
          <w:b/>
          <w:sz w:val="36"/>
        </w:rPr>
      </w:pPr>
      <w:r>
        <w:rPr>
          <w:rFonts w:hint="eastAsia" w:ascii="仿宋_GB2312" w:hAnsi="宋体" w:eastAsia="仿宋_GB2312"/>
          <w:b/>
          <w:sz w:val="36"/>
        </w:rPr>
        <w:t>投标文件格式</w:t>
      </w:r>
    </w:p>
    <w:p>
      <w:pPr>
        <w:rPr>
          <w:rFonts w:ascii="仿宋_GB2312" w:hAnsi="仿宋_GB2312" w:eastAsia="仿宋_GB2312" w:cs="仿宋_GB2312"/>
          <w:b/>
          <w:sz w:val="32"/>
        </w:rPr>
      </w:pPr>
    </w:p>
    <w:p>
      <w:pPr>
        <w:rPr>
          <w:rFonts w:hint="eastAsia" w:ascii="仿宋_GB2312" w:hAnsi="仿宋_GB2312" w:eastAsia="仿宋_GB2312" w:cs="仿宋_GB2312"/>
          <w:b/>
          <w:spacing w:val="20"/>
          <w:sz w:val="36"/>
        </w:rPr>
      </w:pPr>
      <w:r>
        <w:rPr>
          <w:rFonts w:hint="eastAsia" w:ascii="仿宋_GB2312" w:hAnsi="仿宋_GB2312" w:eastAsia="仿宋_GB2312" w:cs="仿宋_GB2312"/>
          <w:b/>
          <w:sz w:val="32"/>
        </w:rPr>
        <w:t>投标函部分格式</w:t>
      </w:r>
      <w:r>
        <w:rPr>
          <w:rFonts w:hint="eastAsia" w:ascii="仿宋_GB2312" w:hAnsi="仿宋_GB2312" w:eastAsia="仿宋_GB2312" w:cs="仿宋_GB2312"/>
          <w:b/>
          <w:spacing w:val="20"/>
          <w:sz w:val="36"/>
        </w:rPr>
        <w:t>：</w:t>
      </w:r>
    </w:p>
    <w:p/>
    <w:p>
      <w:pPr>
        <w:spacing w:line="360" w:lineRule="auto"/>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kern w:val="0"/>
          <w:sz w:val="28"/>
          <w:u w:val="single"/>
          <w:lang w:eastAsia="zh-CN"/>
        </w:rPr>
        <w:t>共享工投公司2023年度短期融资券主承销商选聘</w:t>
      </w:r>
      <w:r>
        <w:rPr>
          <w:rFonts w:hint="eastAsia" w:ascii="仿宋_GB2312" w:hAnsi="仿宋_GB2312" w:eastAsia="仿宋_GB2312" w:cs="仿宋_GB2312"/>
          <w:b/>
          <w:kern w:val="0"/>
          <w:sz w:val="28"/>
          <w:u w:val="single"/>
          <w:lang w:val="en-US" w:eastAsia="zh-CN"/>
        </w:rPr>
        <w:t>项目</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rPr>
      </w:pPr>
      <w:r>
        <w:rPr>
          <w:rFonts w:hint="eastAsia" w:ascii="仿宋_GB2312" w:hAnsi="仿宋_GB2312" w:eastAsia="仿宋_GB2312" w:cs="仿宋_GB2312"/>
          <w:b/>
          <w:kern w:val="0"/>
          <w:sz w:val="84"/>
        </w:rPr>
        <w:t>投标文件</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p>
    <w:p>
      <w:pPr>
        <w:pStyle w:val="5"/>
        <w:jc w:val="center"/>
        <w:rPr>
          <w:rFonts w:ascii="宋体" w:hAnsi="宋体" w:cs="楷体"/>
          <w:sz w:val="28"/>
        </w:rPr>
      </w:pPr>
      <w:bookmarkStart w:id="27" w:name="_Toc459721133"/>
      <w:bookmarkStart w:id="28" w:name="_Toc431287128"/>
    </w:p>
    <w:bookmarkEnd w:id="27"/>
    <w:bookmarkEnd w:id="28"/>
    <w:p>
      <w:pPr>
        <w:pStyle w:val="5"/>
        <w:jc w:val="both"/>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bookmarkStart w:id="29" w:name="_Toc7868"/>
      <w:bookmarkStart w:id="30" w:name="_Toc338263126"/>
      <w:bookmarkStart w:id="31" w:name="_Toc334349123"/>
      <w:bookmarkStart w:id="32" w:name="_Toc336093170"/>
    </w:p>
    <w:p>
      <w:pPr>
        <w:pStyle w:val="5"/>
        <w:jc w:val="center"/>
        <w:rPr>
          <w:rFonts w:ascii="宋体" w:hAnsi="宋体" w:cs="宋体"/>
          <w:color w:val="000000"/>
          <w:sz w:val="28"/>
        </w:rPr>
      </w:pPr>
      <w:r>
        <w:rPr>
          <w:rFonts w:hint="eastAsia" w:ascii="宋体" w:hAnsi="宋体" w:cs="宋体"/>
          <w:color w:val="000000"/>
          <w:sz w:val="28"/>
        </w:rPr>
        <w:t>（一） 投标函</w:t>
      </w:r>
      <w:bookmarkEnd w:id="29"/>
      <w:bookmarkEnd w:id="30"/>
      <w:bookmarkEnd w:id="31"/>
      <w:bookmarkEnd w:id="32"/>
    </w:p>
    <w:p>
      <w:pPr>
        <w:autoSpaceDE w:val="0"/>
        <w:autoSpaceDN w:val="0"/>
        <w:adjustRightInd w:val="0"/>
        <w:spacing w:line="200" w:lineRule="exact"/>
        <w:jc w:val="left"/>
        <w:rPr>
          <w:rFonts w:ascii="宋体" w:hAnsi="宋体" w:cs="宋体"/>
          <w:kern w:val="0"/>
        </w:rPr>
      </w:pPr>
    </w:p>
    <w:p>
      <w:pPr>
        <w:snapToGrid w:val="0"/>
        <w:spacing w:line="360" w:lineRule="auto"/>
        <w:ind w:right="-3"/>
        <w:rPr>
          <w:rFonts w:hint="eastAsia" w:ascii="宋体" w:hAnsi="宋体" w:cs="宋体"/>
          <w:snapToGrid w:val="0"/>
          <w:kern w:val="0"/>
          <w:szCs w:val="21"/>
        </w:rPr>
      </w:pPr>
    </w:p>
    <w:p>
      <w:pPr>
        <w:snapToGrid w:val="0"/>
        <w:spacing w:line="360" w:lineRule="auto"/>
        <w:ind w:right="-3"/>
        <w:rPr>
          <w:rFonts w:ascii="宋体" w:hAnsi="宋体" w:cs="宋体"/>
          <w:snapToGrid w:val="0"/>
          <w:kern w:val="0"/>
          <w:szCs w:val="21"/>
        </w:rPr>
      </w:pPr>
      <w:r>
        <w:rPr>
          <w:rFonts w:hint="eastAsia" w:ascii="宋体" w:hAnsi="宋体" w:cs="宋体"/>
          <w:snapToGrid w:val="0"/>
          <w:kern w:val="0"/>
          <w:szCs w:val="21"/>
          <w:lang w:val="en-US" w:eastAsia="zh-CN"/>
        </w:rPr>
        <w:t>重庆共享工业投资有限公司</w:t>
      </w:r>
      <w:r>
        <w:rPr>
          <w:rFonts w:hint="eastAsia" w:ascii="宋体" w:hAnsi="宋体" w:cs="宋体"/>
          <w:snapToGrid w:val="0"/>
          <w:kern w:val="0"/>
          <w:szCs w:val="21"/>
        </w:rPr>
        <w:t>：</w:t>
      </w: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20" w:firstLineChars="200"/>
        <w:rPr>
          <w:rFonts w:ascii="宋体" w:hAnsi="宋体" w:cs="宋体"/>
          <w:snapToGrid w:val="0"/>
          <w:kern w:val="0"/>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根据你方</w:t>
      </w:r>
      <w:r>
        <w:rPr>
          <w:rFonts w:hint="eastAsia" w:ascii="宋体" w:hAnsi="宋体" w:cs="宋体"/>
          <w:b/>
          <w:kern w:val="0"/>
          <w:szCs w:val="21"/>
          <w:u w:val="single"/>
        </w:rPr>
        <w:t xml:space="preserve">    </w:t>
      </w:r>
      <w:r>
        <w:rPr>
          <w:rFonts w:hint="eastAsia" w:ascii="宋体" w:hAnsi="宋体" w:cs="宋体"/>
          <w:b/>
          <w:kern w:val="0"/>
          <w:szCs w:val="21"/>
          <w:u w:val="single"/>
          <w:lang w:val="en-US" w:eastAsia="zh-CN"/>
        </w:rPr>
        <w:t xml:space="preserve">     </w:t>
      </w:r>
      <w:r>
        <w:rPr>
          <w:rFonts w:hint="eastAsia" w:ascii="宋体" w:hAnsi="宋体" w:cs="宋体"/>
          <w:b/>
          <w:kern w:val="0"/>
          <w:szCs w:val="21"/>
          <w:u w:val="single"/>
        </w:rPr>
        <w:t xml:space="preserve">  </w:t>
      </w:r>
      <w:r>
        <w:rPr>
          <w:rFonts w:hint="eastAsia" w:ascii="宋体" w:hAnsi="宋体" w:cs="宋体"/>
          <w:b/>
          <w:kern w:val="0"/>
          <w:szCs w:val="21"/>
          <w:u w:val="single"/>
          <w:lang w:val="en-US" w:eastAsia="zh-CN"/>
        </w:rPr>
        <w:t xml:space="preserve">         </w:t>
      </w:r>
      <w:r>
        <w:rPr>
          <w:rFonts w:hint="eastAsia" w:ascii="宋体" w:hAnsi="宋体" w:cs="宋体"/>
          <w:b/>
          <w:kern w:val="0"/>
          <w:szCs w:val="21"/>
          <w:u w:val="single"/>
        </w:rPr>
        <w:t xml:space="preserve">     </w:t>
      </w:r>
      <w:r>
        <w:rPr>
          <w:rFonts w:hint="eastAsia" w:ascii="宋体" w:hAnsi="宋体" w:cs="宋体"/>
          <w:szCs w:val="21"/>
        </w:rPr>
        <w:t>项目招标文件，遵照《中华人民共和国招标投标法》等有关法律法规的规定，经研究招标文件及其相应的补遗资料、书面通知等规定后，结合本</w:t>
      </w:r>
      <w:r>
        <w:rPr>
          <w:rFonts w:hint="eastAsia" w:ascii="宋体" w:hAnsi="宋体" w:cs="宋体"/>
          <w:szCs w:val="21"/>
          <w:lang w:eastAsia="zh-CN"/>
        </w:rPr>
        <w:t>项目</w:t>
      </w:r>
      <w:r>
        <w:rPr>
          <w:rFonts w:hint="eastAsia" w:ascii="宋体" w:hAnsi="宋体" w:cs="宋体"/>
          <w:szCs w:val="21"/>
        </w:rPr>
        <w:t>实际情况和市场行情，</w:t>
      </w:r>
      <w:r>
        <w:rPr>
          <w:rFonts w:hint="eastAsia" w:ascii="宋体" w:hAnsi="宋体" w:cs="宋体"/>
          <w:snapToGrid w:val="0"/>
          <w:kern w:val="0"/>
          <w:szCs w:val="21"/>
        </w:rPr>
        <w:t>我方</w:t>
      </w:r>
      <w:r>
        <w:rPr>
          <w:rFonts w:hint="eastAsia" w:ascii="宋体" w:hAnsi="宋体" w:cs="宋体"/>
          <w:snapToGrid w:val="0"/>
          <w:kern w:val="0"/>
          <w:szCs w:val="21"/>
          <w:lang w:val="en-US" w:eastAsia="zh-CN"/>
        </w:rPr>
        <w:t>于本项目承销费率投标报价为</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w:t>
      </w:r>
      <w:r>
        <w:rPr>
          <w:rFonts w:hint="eastAsia" w:ascii="宋体" w:hAnsi="宋体" w:cs="宋体"/>
          <w:szCs w:val="21"/>
        </w:rPr>
        <w:t>项目负责人</w:t>
      </w:r>
      <w:r>
        <w:rPr>
          <w:rFonts w:hint="eastAsia" w:ascii="宋体" w:hAnsi="宋体" w:cs="宋体"/>
          <w:szCs w:val="21"/>
          <w:u w:val="single"/>
        </w:rPr>
        <w:t xml:space="preserve">            </w:t>
      </w:r>
      <w:r>
        <w:rPr>
          <w:rFonts w:hint="eastAsia" w:ascii="宋体" w:hAnsi="宋体" w:cs="宋体"/>
          <w:szCs w:val="21"/>
        </w:rPr>
        <w:t>。并按上述招标文件规定的条件和要求完成合同规定的全部工作内容和承担相关的责任。</w:t>
      </w:r>
      <w:r>
        <w:rPr>
          <w:rFonts w:hint="eastAsia" w:ascii="宋体" w:hAnsi="宋体" w:cs="宋体"/>
          <w:szCs w:val="21"/>
          <w:u w:val="none"/>
        </w:rPr>
        <w:t xml:space="preserve">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 若我方中标：</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按比选文件规定的各项要求，向</w:t>
      </w:r>
      <w:r>
        <w:rPr>
          <w:rFonts w:hint="eastAsia" w:ascii="宋体" w:hAnsi="宋体" w:cs="宋体"/>
          <w:szCs w:val="21"/>
          <w:lang w:eastAsia="zh-CN"/>
        </w:rPr>
        <w:t>重庆共享工业</w:t>
      </w:r>
      <w:r>
        <w:rPr>
          <w:rFonts w:hint="eastAsia" w:ascii="宋体" w:hAnsi="宋体" w:cs="宋体"/>
          <w:szCs w:val="21"/>
        </w:rPr>
        <w:t>投资有限公司</w:t>
      </w:r>
      <w:r>
        <w:rPr>
          <w:rFonts w:hint="eastAsia" w:ascii="宋体" w:hAnsi="宋体" w:cs="宋体"/>
          <w:szCs w:val="21"/>
          <w:lang w:eastAsia="zh-CN"/>
        </w:rPr>
        <w:t>短期融资券</w:t>
      </w:r>
      <w:r>
        <w:rPr>
          <w:rFonts w:hint="eastAsia" w:ascii="宋体" w:hAnsi="宋体" w:cs="宋体"/>
          <w:szCs w:val="21"/>
        </w:rPr>
        <w:t>发行提供比选文件要求的承销服务，投标书中的报价和承诺的服务是我方真实意愿的反映；</w:t>
      </w:r>
    </w:p>
    <w:p>
      <w:pPr>
        <w:snapToGrid w:val="0"/>
        <w:spacing w:line="360" w:lineRule="auto"/>
        <w:ind w:right="-3" w:firstLine="420" w:firstLineChars="2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公司完全理解贵方将合同授予综合评分最高者的合格比选申请人</w:t>
      </w:r>
      <w:r>
        <w:rPr>
          <w:rFonts w:hint="eastAsia" w:ascii="宋体" w:hAnsi="宋体" w:cs="宋体"/>
          <w:szCs w:val="21"/>
          <w:lang w:eastAsia="zh-CN"/>
        </w:rPr>
        <w:t>；</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公司已详细审核全部比选文件及其有关补充文件，知道必须放弃提出含糊不清或误解问题的权利；</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4</w:t>
      </w:r>
      <w:r>
        <w:rPr>
          <w:rFonts w:hint="eastAsia" w:ascii="宋体" w:hAnsi="宋体" w:cs="宋体"/>
          <w:szCs w:val="21"/>
          <w:lang w:eastAsia="zh-CN"/>
        </w:rPr>
        <w:t>）</w:t>
      </w:r>
      <w:r>
        <w:rPr>
          <w:rFonts w:hint="eastAsia" w:ascii="宋体" w:hAnsi="宋体" w:cs="宋体"/>
          <w:szCs w:val="21"/>
        </w:rPr>
        <w:t>同意向贵方提供可能另外要求的与比选有关的任何证据资料，配合比选方实施的与评标有关的各项活动，并保证我方提供和将要提供的文件是真实的、准确的；</w:t>
      </w:r>
    </w:p>
    <w:p>
      <w:pPr>
        <w:snapToGrid w:val="0"/>
        <w:spacing w:line="360" w:lineRule="auto"/>
        <w:ind w:right="-3"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5</w:t>
      </w:r>
      <w:r>
        <w:rPr>
          <w:rFonts w:hint="eastAsia" w:ascii="宋体" w:hAnsi="宋体" w:cs="宋体"/>
          <w:szCs w:val="21"/>
          <w:lang w:eastAsia="zh-CN"/>
        </w:rPr>
        <w:t>）</w:t>
      </w:r>
      <w:r>
        <w:rPr>
          <w:rFonts w:hint="eastAsia" w:ascii="宋体" w:hAnsi="宋体" w:cs="宋体"/>
          <w:szCs w:val="21"/>
        </w:rPr>
        <w:t>一旦我方作为中选人，我方将严格履行合同规定的责任和义务，保证按比选文件中规定的要求和比选中的承诺为</w:t>
      </w:r>
      <w:r>
        <w:rPr>
          <w:rFonts w:hint="eastAsia" w:ascii="宋体" w:hAnsi="宋体" w:cs="宋体"/>
          <w:szCs w:val="21"/>
          <w:lang w:eastAsia="zh-CN"/>
        </w:rPr>
        <w:t>重庆共享工业投资有限</w:t>
      </w:r>
      <w:r>
        <w:rPr>
          <w:rFonts w:hint="eastAsia" w:ascii="宋体" w:hAnsi="宋体" w:cs="宋体"/>
          <w:szCs w:val="21"/>
        </w:rPr>
        <w:t>公司发行</w:t>
      </w:r>
      <w:r>
        <w:rPr>
          <w:rFonts w:hint="eastAsia" w:ascii="宋体" w:hAnsi="宋体" w:cs="宋体"/>
          <w:szCs w:val="21"/>
          <w:lang w:eastAsia="zh-CN"/>
        </w:rPr>
        <w:t>短期融资券</w:t>
      </w:r>
      <w:r>
        <w:rPr>
          <w:rFonts w:hint="eastAsia" w:ascii="宋体" w:hAnsi="宋体" w:cs="宋体"/>
          <w:szCs w:val="21"/>
        </w:rPr>
        <w:t>提供优质的承销服务。</w:t>
      </w:r>
    </w:p>
    <w:p>
      <w:pPr>
        <w:autoSpaceDE w:val="0"/>
        <w:autoSpaceDN w:val="0"/>
        <w:adjustRightInd w:val="0"/>
        <w:spacing w:line="400" w:lineRule="exact"/>
        <w:ind w:right="216" w:firstLine="521"/>
        <w:rPr>
          <w:rFonts w:ascii="宋体" w:hAnsi="宋体" w:cs="宋体"/>
          <w:szCs w:val="21"/>
        </w:rPr>
      </w:pPr>
    </w:p>
    <w:p>
      <w:pPr>
        <w:pStyle w:val="5"/>
        <w:rPr>
          <w:rFonts w:ascii="宋体" w:hAnsi="宋体" w:cs="宋体"/>
          <w:szCs w:val="21"/>
        </w:rPr>
      </w:pPr>
    </w:p>
    <w:p/>
    <w:p>
      <w:pPr>
        <w:spacing w:line="400" w:lineRule="exact"/>
        <w:ind w:firstLine="437"/>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pStyle w:val="5"/>
        <w:jc w:val="both"/>
        <w:rPr>
          <w:rFonts w:hint="eastAsia" w:ascii="宋体" w:hAnsi="宋体" w:cs="宋体"/>
          <w:color w:val="000000"/>
          <w:sz w:val="28"/>
        </w:rPr>
      </w:pPr>
      <w:bookmarkStart w:id="33" w:name="_Toc28913"/>
      <w:bookmarkStart w:id="34" w:name="_Toc338263127"/>
      <w:bookmarkStart w:id="35" w:name="_Toc334349124"/>
      <w:bookmarkStart w:id="36" w:name="_Toc336093171"/>
    </w:p>
    <w:p>
      <w:pPr>
        <w:pStyle w:val="5"/>
        <w:jc w:val="center"/>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p>
    <w:bookmarkEnd w:id="33"/>
    <w:bookmarkEnd w:id="34"/>
    <w:bookmarkEnd w:id="35"/>
    <w:bookmarkEnd w:id="36"/>
    <w:p>
      <w:pPr>
        <w:pStyle w:val="5"/>
        <w:jc w:val="center"/>
        <w:rPr>
          <w:rFonts w:ascii="宋体" w:hAnsi="宋体" w:cs="宋体"/>
          <w:color w:val="000000"/>
        </w:rPr>
      </w:pPr>
      <w:r>
        <w:rPr>
          <w:rFonts w:hint="eastAsia" w:ascii="宋体" w:hAnsi="宋体" w:cs="宋体"/>
          <w:color w:val="000000"/>
          <w:sz w:val="28"/>
        </w:rPr>
        <w:t>（二） 法定代表人身份证明及授权委托书</w:t>
      </w:r>
    </w:p>
    <w:p>
      <w:pPr>
        <w:jc w:val="center"/>
        <w:rPr>
          <w:rFonts w:ascii="宋体" w:hAnsi="宋体" w:cs="宋体"/>
          <w:b/>
          <w:color w:val="000000"/>
          <w:sz w:val="28"/>
        </w:rPr>
      </w:pPr>
    </w:p>
    <w:p>
      <w:pPr>
        <w:jc w:val="center"/>
        <w:rPr>
          <w:rFonts w:ascii="宋体" w:hAnsi="宋体" w:cs="宋体"/>
          <w:b/>
          <w:color w:val="000000"/>
        </w:rPr>
      </w:pPr>
      <w:r>
        <w:rPr>
          <w:rFonts w:hint="eastAsia" w:ascii="宋体" w:hAnsi="宋体" w:cs="宋体"/>
          <w:b/>
          <w:color w:val="000000"/>
          <w:sz w:val="28"/>
        </w:rPr>
        <w:t>法定代表人身份证明</w:t>
      </w:r>
    </w:p>
    <w:p>
      <w:pPr>
        <w:ind w:left="765"/>
        <w:rPr>
          <w:rFonts w:ascii="宋体" w:hAnsi="宋体" w:cs="宋体"/>
          <w:color w:val="000000"/>
        </w:rPr>
      </w:pPr>
    </w:p>
    <w:p>
      <w:pPr>
        <w:ind w:left="765"/>
        <w:rPr>
          <w:rFonts w:ascii="宋体" w:hAnsi="宋体" w:cs="宋体"/>
          <w:color w:val="000000"/>
        </w:rPr>
      </w:pPr>
    </w:p>
    <w:p>
      <w:pPr>
        <w:ind w:left="765"/>
        <w:rPr>
          <w:rFonts w:ascii="宋体" w:hAnsi="宋体" w:cs="宋体"/>
          <w:color w:val="000000"/>
        </w:rPr>
      </w:pPr>
    </w:p>
    <w:p>
      <w:pPr>
        <w:tabs>
          <w:tab w:val="left" w:pos="556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投标人名称：</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pacing w:val="-1"/>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性别</w:t>
      </w:r>
      <w:r>
        <w:rPr>
          <w:rFonts w:hint="eastAsia" w:ascii="宋体" w:hAnsi="宋体" w:cs="宋体"/>
          <w:color w:val="000000"/>
          <w:spacing w:val="-1"/>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kern w:val="0"/>
          <w:szCs w:val="21"/>
        </w:rPr>
        <w:t>龄：</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职务：</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（投标人名称）的法定代表人。</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autoSpaceDE w:val="0"/>
        <w:autoSpaceDN w:val="0"/>
        <w:adjustRightInd w:val="0"/>
        <w:snapToGrid w:val="0"/>
        <w:spacing w:line="360" w:lineRule="auto"/>
        <w:ind w:firstLine="810" w:firstLineChars="386"/>
        <w:jc w:val="left"/>
        <w:rPr>
          <w:rFonts w:hint="eastAsia" w:ascii="宋体" w:hAnsi="宋体" w:cs="宋体"/>
          <w:color w:val="000000"/>
          <w:kern w:val="0"/>
          <w:szCs w:val="21"/>
        </w:rPr>
      </w:pPr>
      <w:r>
        <w:rPr>
          <w:rFonts w:hint="eastAsia" w:ascii="宋体" w:hAnsi="宋体" w:cs="宋体"/>
          <w:color w:val="000000"/>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1"/>
          <w:kern w:val="0"/>
          <w:szCs w:val="21"/>
        </w:rPr>
        <w:t>人</w:t>
      </w:r>
      <w:r>
        <w:rPr>
          <w:rFonts w:hint="eastAsia" w:ascii="宋体" w:hAnsi="宋体" w:cs="宋体"/>
          <w:color w:val="000000"/>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w:t>
      </w:r>
      <w:r>
        <w:rPr>
          <w:rFonts w:hint="eastAsia" w:ascii="宋体" w:hAnsi="宋体" w:cs="宋体"/>
          <w:color w:val="000000"/>
          <w:kern w:val="0"/>
          <w:szCs w:val="21"/>
        </w:rPr>
        <w:t>盖单位法人章）</w:t>
      </w:r>
    </w:p>
    <w:p>
      <w:pPr>
        <w:autoSpaceDE w:val="0"/>
        <w:autoSpaceDN w:val="0"/>
        <w:adjustRightInd w:val="0"/>
        <w:snapToGrid w:val="0"/>
        <w:spacing w:line="360" w:lineRule="auto"/>
        <w:jc w:val="left"/>
        <w:rPr>
          <w:rFonts w:ascii="宋体" w:hAnsi="宋体" w:cs="宋体"/>
          <w:color w:val="000000"/>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宋体"/>
          <w:color w:val="000000"/>
          <w:kern w:val="0"/>
          <w:szCs w:val="21"/>
        </w:rPr>
      </w:pP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日</w:t>
      </w:r>
    </w:p>
    <w:tbl>
      <w:tblPr>
        <w:tblStyle w:val="26"/>
        <w:tblpPr w:leftFromText="180" w:rightFromText="180" w:vertAnchor="text" w:horzAnchor="page" w:tblpX="3998" w:tblpY="1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5"/>
        <w:rPr>
          <w:rFonts w:hint="eastAsia" w:ascii="宋体" w:hAnsi="宋体" w:cs="宋体"/>
          <w:color w:val="000000"/>
          <w:kern w:val="0"/>
          <w:szCs w:val="21"/>
        </w:rPr>
      </w:pPr>
    </w:p>
    <w:p>
      <w:pPr>
        <w:rPr>
          <w:rFonts w:hint="eastAsia" w:ascii="宋体" w:hAnsi="宋体" w:cs="宋体"/>
          <w:color w:val="000000"/>
          <w:kern w:val="0"/>
          <w:szCs w:val="21"/>
        </w:rPr>
      </w:pPr>
    </w:p>
    <w:p>
      <w:pPr>
        <w:pStyle w:val="5"/>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楷体"/>
          <w:b/>
          <w:kern w:val="0"/>
          <w:sz w:val="28"/>
        </w:rPr>
      </w:pPr>
      <w:r>
        <w:rPr>
          <w:rFonts w:hint="eastAsia" w:ascii="宋体" w:hAnsi="宋体" w:cs="宋体"/>
          <w:color w:val="000000"/>
          <w:kern w:val="0"/>
        </w:rPr>
        <w:t>注：法定代表人身份证明需按上述格式填写完整，不可缺少内容。在此基础上增加内容的不影响其有效性</w:t>
      </w:r>
      <w:r>
        <w:rPr>
          <w:rFonts w:hint="eastAsia" w:ascii="宋体" w:hAnsi="宋体" w:cs="宋体"/>
          <w:color w:val="000000"/>
          <w:kern w:val="0"/>
          <w:lang w:eastAsia="zh-CN"/>
        </w:rPr>
        <w:t>，此格式为参考格式</w:t>
      </w:r>
      <w:r>
        <w:rPr>
          <w:rFonts w:hint="eastAsia" w:ascii="宋体" w:hAnsi="宋体" w:cs="宋体"/>
          <w:color w:val="000000"/>
          <w:kern w:val="0"/>
        </w:rPr>
        <w:t>。</w:t>
      </w: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hint="eastAsia" w:ascii="宋体" w:hAnsi="宋体" w:cs="楷体"/>
          <w:b/>
          <w:kern w:val="0"/>
          <w:sz w:val="28"/>
        </w:rPr>
        <w:sectPr>
          <w:pgSz w:w="11906" w:h="16838"/>
          <w:pgMar w:top="993" w:right="1558" w:bottom="851" w:left="1701" w:header="851" w:footer="992" w:gutter="0"/>
          <w:pgNumType w:start="0"/>
          <w:cols w:space="720" w:num="1"/>
          <w:titlePg/>
          <w:docGrid w:type="lines" w:linePitch="312" w:charSpace="0"/>
        </w:sectPr>
      </w:pP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rPr>
      </w:pPr>
      <w:r>
        <w:rPr>
          <w:rFonts w:hint="eastAsia" w:ascii="宋体" w:hAnsi="宋体" w:cs="楷体"/>
          <w:b/>
          <w:kern w:val="0"/>
          <w:sz w:val="28"/>
        </w:rPr>
        <w:t>（三）授权委托书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lang w:val="en-US" w:eastAsia="zh-CN"/>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w:t>
      </w:r>
      <w:r>
        <w:rPr>
          <w:rFonts w:hint="eastAsia" w:ascii="宋体" w:hAnsi="宋体" w:cs="楷体"/>
          <w:kern w:val="0"/>
          <w:lang w:eastAsia="zh-CN"/>
        </w:rPr>
        <w:t>或盖章</w:t>
      </w:r>
      <w:r>
        <w:rPr>
          <w:rFonts w:hint="eastAsia" w:ascii="宋体" w:hAnsi="宋体" w:cs="楷体"/>
          <w:kern w:val="0"/>
        </w:rPr>
        <w:t>）</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26"/>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26"/>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5"/>
        <w:jc w:val="center"/>
        <w:rPr>
          <w:rFonts w:ascii="宋体" w:hAnsi="宋体" w:cs="楷体"/>
          <w:sz w:val="28"/>
        </w:rPr>
      </w:pPr>
    </w:p>
    <w:p>
      <w:pPr>
        <w:pStyle w:val="5"/>
        <w:jc w:val="center"/>
        <w:rPr>
          <w:rFonts w:ascii="宋体" w:hAnsi="宋体" w:cs="楷体"/>
          <w:sz w:val="28"/>
        </w:rPr>
      </w:pPr>
    </w:p>
    <w:p>
      <w:pPr>
        <w:tabs>
          <w:tab w:val="left" w:pos="5760"/>
        </w:tabs>
        <w:autoSpaceDE w:val="0"/>
        <w:autoSpaceDN w:val="0"/>
        <w:adjustRightInd w:val="0"/>
        <w:spacing w:line="300" w:lineRule="exact"/>
        <w:ind w:left="735" w:right="11" w:hanging="735" w:hangingChars="350"/>
        <w:rPr>
          <w:rFonts w:ascii="宋体" w:hAnsi="宋体" w:cs="楷体"/>
          <w:kern w:val="0"/>
          <w:szCs w:val="21"/>
        </w:rPr>
      </w:pPr>
    </w:p>
    <w:p>
      <w:pPr>
        <w:tabs>
          <w:tab w:val="left" w:pos="5760"/>
        </w:tabs>
        <w:autoSpaceDE w:val="0"/>
        <w:autoSpaceDN w:val="0"/>
        <w:adjustRightInd w:val="0"/>
        <w:spacing w:line="300" w:lineRule="exact"/>
        <w:ind w:left="630" w:right="11" w:hanging="630" w:hangingChars="350"/>
        <w:rPr>
          <w:rFonts w:hint="eastAsia" w:ascii="宋体" w:hAnsi="宋体" w:cs="楷体"/>
          <w:kern w:val="0"/>
          <w:sz w:val="18"/>
          <w:szCs w:val="18"/>
        </w:rPr>
      </w:pPr>
    </w:p>
    <w:p>
      <w:pPr>
        <w:tabs>
          <w:tab w:val="left" w:pos="5760"/>
        </w:tabs>
        <w:autoSpaceDE w:val="0"/>
        <w:autoSpaceDN w:val="0"/>
        <w:adjustRightInd w:val="0"/>
        <w:spacing w:line="300" w:lineRule="exact"/>
        <w:ind w:left="630" w:right="11" w:hanging="630" w:hangingChars="350"/>
        <w:rPr>
          <w:rFonts w:hint="eastAsia" w:ascii="宋体" w:hAnsi="宋体" w:cs="楷体"/>
          <w:kern w:val="0"/>
          <w:sz w:val="18"/>
          <w:szCs w:val="18"/>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rPr>
      </w:pPr>
      <w:r>
        <w:rPr>
          <w:rFonts w:hint="eastAsia" w:ascii="宋体" w:hAnsi="宋体" w:cs="楷体"/>
          <w:kern w:val="0"/>
          <w:sz w:val="18"/>
          <w:szCs w:val="18"/>
        </w:rPr>
        <w:t>注：1</w:t>
      </w:r>
      <w:r>
        <w:rPr>
          <w:rFonts w:hint="eastAsia" w:ascii="宋体" w:hAnsi="宋体" w:cs="楷体"/>
          <w:kern w:val="0"/>
          <w:sz w:val="18"/>
          <w:szCs w:val="18"/>
          <w:lang w:val="en-US" w:eastAsia="zh-CN"/>
        </w:rPr>
        <w:t>.</w:t>
      </w:r>
      <w:r>
        <w:rPr>
          <w:rFonts w:hint="eastAsia" w:ascii="宋体" w:hAnsi="宋体" w:cs="楷体"/>
          <w:kern w:val="0"/>
          <w:sz w:val="18"/>
          <w:szCs w:val="18"/>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right="11" w:firstLine="360" w:firstLineChars="200"/>
        <w:rPr>
          <w:rFonts w:hint="eastAsia" w:ascii="宋体" w:hAnsi="宋体" w:cs="楷体"/>
          <w:kern w:val="0"/>
          <w:sz w:val="18"/>
          <w:szCs w:val="18"/>
        </w:rPr>
      </w:pPr>
      <w:r>
        <w:rPr>
          <w:rFonts w:hint="eastAsia" w:ascii="宋体" w:hAnsi="宋体" w:cs="楷体"/>
          <w:kern w:val="0"/>
          <w:sz w:val="18"/>
          <w:szCs w:val="18"/>
        </w:rPr>
        <w:t>2</w:t>
      </w:r>
      <w:r>
        <w:rPr>
          <w:rFonts w:hint="eastAsia" w:ascii="宋体" w:hAnsi="宋体" w:cs="楷体"/>
          <w:kern w:val="0"/>
          <w:sz w:val="18"/>
          <w:szCs w:val="18"/>
          <w:lang w:val="en-US" w:eastAsia="zh-CN"/>
        </w:rPr>
        <w:t>.</w:t>
      </w:r>
      <w:r>
        <w:rPr>
          <w:rFonts w:hint="eastAsia" w:ascii="宋体" w:hAnsi="宋体" w:cs="楷体"/>
          <w:kern w:val="0"/>
          <w:sz w:val="18"/>
          <w:szCs w:val="18"/>
        </w:rPr>
        <w:t>法定代表人身份证明及授权委托书原件装入比选申请文件一并递交。</w:t>
      </w:r>
    </w:p>
    <w:p>
      <w:pPr>
        <w:pStyle w:val="5"/>
        <w:rPr>
          <w:rFonts w:hint="eastAsia" w:ascii="宋体" w:hAnsi="宋体" w:eastAsia="宋体" w:cs="楷体"/>
          <w:b w:val="0"/>
          <w:kern w:val="0"/>
          <w:sz w:val="18"/>
          <w:szCs w:val="18"/>
          <w:lang w:val="en-US" w:eastAsia="zh-CN" w:bidi="ar-SA"/>
        </w:rPr>
      </w:pPr>
      <w:r>
        <w:rPr>
          <w:rFonts w:hint="eastAsia"/>
          <w:lang w:val="en-US" w:eastAsia="zh-CN"/>
        </w:rPr>
        <w:t xml:space="preserve">   </w:t>
      </w:r>
      <w:r>
        <w:rPr>
          <w:rFonts w:hint="eastAsia" w:ascii="宋体" w:hAnsi="宋体" w:eastAsia="宋体" w:cs="楷体"/>
          <w:b w:val="0"/>
          <w:kern w:val="0"/>
          <w:sz w:val="18"/>
          <w:szCs w:val="18"/>
          <w:lang w:val="en-US" w:eastAsia="zh-CN" w:bidi="ar-SA"/>
        </w:rPr>
        <w:t>3.此格式为参考格式。</w:t>
      </w:r>
    </w:p>
    <w:p>
      <w:pPr>
        <w:spacing w:line="360" w:lineRule="auto"/>
        <w:ind w:firstLine="420" w:firstLineChars="200"/>
        <w:rPr>
          <w:rFonts w:ascii="仿宋_GB2312" w:eastAsia="仿宋_GB2312"/>
          <w:szCs w:val="21"/>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rPr>
          <w:rFonts w:ascii="宋体" w:hAnsi="宋体" w:cs="楷体"/>
          <w:vanish/>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5"/>
        <w:jc w:val="center"/>
        <w:rPr>
          <w:rFonts w:ascii="宋体" w:hAnsi="宋体" w:cs="楷体"/>
          <w:sz w:val="28"/>
        </w:rPr>
      </w:pPr>
      <w:bookmarkStart w:id="37" w:name="_Toc240287566"/>
      <w:bookmarkStart w:id="38" w:name="_Toc277541817"/>
    </w:p>
    <w:bookmarkEnd w:id="37"/>
    <w:bookmarkEnd w:id="38"/>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宋体" w:hAnsi="宋体" w:cs="宋体"/>
          <w:color w:val="000000"/>
          <w:sz w:val="21"/>
          <w:szCs w:val="21"/>
        </w:rPr>
      </w:pPr>
      <w:r>
        <w:rPr>
          <w:rFonts w:hint="eastAsia" w:ascii="宋体" w:hAnsi="宋体" w:cs="楷体"/>
          <w:b/>
          <w:kern w:val="0"/>
          <w:sz w:val="28"/>
          <w:lang w:eastAsia="zh-CN"/>
        </w:rPr>
        <w:t>（四）联合体声明（联合体适用）</w:t>
      </w:r>
    </w:p>
    <w:p>
      <w:pPr>
        <w:autoSpaceDE w:val="0"/>
        <w:autoSpaceDN w:val="0"/>
        <w:spacing w:line="560" w:lineRule="exact"/>
        <w:rPr>
          <w:rFonts w:hint="eastAsia" w:ascii="宋体" w:hAnsi="宋体" w:cs="宋体"/>
          <w:color w:val="000000"/>
          <w:sz w:val="21"/>
          <w:szCs w:val="21"/>
        </w:rPr>
      </w:pPr>
      <w:r>
        <w:rPr>
          <w:rFonts w:hint="eastAsia" w:ascii="宋体" w:hAnsi="宋体" w:cs="宋体"/>
          <w:color w:val="000000"/>
          <w:sz w:val="21"/>
          <w:szCs w:val="21"/>
        </w:rPr>
        <w:t>致</w:t>
      </w:r>
      <w:r>
        <w:rPr>
          <w:rFonts w:hint="eastAsia" w:ascii="宋体" w:hAnsi="宋体" w:cs="宋体"/>
          <w:color w:val="000000"/>
          <w:sz w:val="21"/>
          <w:szCs w:val="21"/>
          <w:u w:val="none"/>
          <w:lang w:eastAsia="zh-CN"/>
        </w:rPr>
        <w:t>重庆共享工业</w:t>
      </w:r>
      <w:r>
        <w:rPr>
          <w:rFonts w:hint="eastAsia" w:ascii="宋体" w:hAnsi="宋体" w:cs="宋体"/>
          <w:color w:val="000000"/>
          <w:sz w:val="21"/>
          <w:szCs w:val="21"/>
          <w:u w:val="none"/>
        </w:rPr>
        <w:t>投资有限公司</w:t>
      </w:r>
      <w:r>
        <w:rPr>
          <w:rFonts w:hint="eastAsia" w:ascii="宋体" w:hAnsi="宋体" w:cs="宋体"/>
          <w:color w:val="000000"/>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及</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自愿组成</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联合体，共同参加</w:t>
      </w:r>
      <w:r>
        <w:rPr>
          <w:rFonts w:hint="eastAsia" w:ascii="宋体" w:hAnsi="宋体" w:cs="宋体"/>
          <w:color w:val="000000"/>
          <w:sz w:val="21"/>
          <w:szCs w:val="21"/>
          <w:lang w:eastAsia="zh-CN"/>
        </w:rPr>
        <w:t>共享工投公司2023年度短期融资券主承销商选聘</w:t>
      </w:r>
      <w:r>
        <w:rPr>
          <w:rFonts w:hint="eastAsia" w:ascii="宋体" w:hAnsi="宋体" w:cs="宋体"/>
          <w:color w:val="000000"/>
          <w:sz w:val="21"/>
          <w:szCs w:val="21"/>
          <w:u w:val="none"/>
          <w:lang w:eastAsia="zh-CN"/>
        </w:rPr>
        <w:t>项目比选</w:t>
      </w:r>
      <w:r>
        <w:rPr>
          <w:rFonts w:ascii="宋体" w:hAnsi="宋体" w:cs="宋体"/>
          <w:color w:val="000000"/>
          <w:sz w:val="21"/>
          <w:szCs w:val="21"/>
        </w:rPr>
        <w:t>。现就联合体</w:t>
      </w:r>
      <w:r>
        <w:rPr>
          <w:rFonts w:hint="eastAsia" w:ascii="宋体" w:hAnsi="宋体" w:cs="宋体"/>
          <w:color w:val="000000"/>
          <w:sz w:val="21"/>
          <w:szCs w:val="21"/>
          <w:lang w:eastAsia="zh-CN"/>
        </w:rPr>
        <w:t>参与比选</w:t>
      </w:r>
      <w:r>
        <w:rPr>
          <w:rFonts w:ascii="宋体" w:hAnsi="宋体" w:cs="宋体"/>
          <w:color w:val="000000"/>
          <w:sz w:val="21"/>
          <w:szCs w:val="21"/>
        </w:rPr>
        <w:t>事宜</w:t>
      </w:r>
      <w:r>
        <w:rPr>
          <w:rFonts w:hint="eastAsia" w:ascii="宋体" w:hAnsi="宋体" w:cs="宋体"/>
          <w:color w:val="000000"/>
          <w:sz w:val="21"/>
          <w:szCs w:val="21"/>
        </w:rPr>
        <w:t>做出如下声明：</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1</w:t>
      </w:r>
      <w:r>
        <w:rPr>
          <w:rFonts w:hint="eastAsia" w:ascii="宋体" w:hAnsi="宋体" w:cs="宋体"/>
          <w:color w:val="000000"/>
          <w:sz w:val="21"/>
          <w:szCs w:val="21"/>
          <w:lang w:eastAsia="zh-CN"/>
        </w:rPr>
        <w:t>.</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为</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rPr>
        <w:t>联合体</w:t>
      </w:r>
      <w:r>
        <w:rPr>
          <w:rFonts w:ascii="宋体" w:hAnsi="宋体" w:cs="宋体"/>
          <w:color w:val="000000"/>
          <w:sz w:val="21"/>
          <w:szCs w:val="21"/>
        </w:rPr>
        <w:t>牵头人。</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2</w:t>
      </w:r>
      <w:r>
        <w:rPr>
          <w:rFonts w:hint="eastAsia" w:ascii="宋体" w:hAnsi="宋体" w:cs="宋体"/>
          <w:color w:val="000000"/>
          <w:sz w:val="21"/>
          <w:szCs w:val="21"/>
          <w:lang w:eastAsia="zh-CN"/>
        </w:rPr>
        <w:t>.</w:t>
      </w:r>
      <w:r>
        <w:rPr>
          <w:rFonts w:ascii="宋体" w:hAnsi="宋体" w:cs="宋体"/>
          <w:color w:val="000000"/>
          <w:sz w:val="21"/>
          <w:szCs w:val="21"/>
        </w:rPr>
        <w:t>联合体牵头人合法代表联合体各成员负责本</w:t>
      </w:r>
      <w:r>
        <w:rPr>
          <w:rFonts w:hint="eastAsia" w:ascii="宋体" w:hAnsi="宋体" w:cs="宋体"/>
          <w:color w:val="000000"/>
          <w:sz w:val="21"/>
          <w:szCs w:val="21"/>
          <w:lang w:eastAsia="zh-CN"/>
        </w:rPr>
        <w:t>次比选</w:t>
      </w:r>
      <w:r>
        <w:rPr>
          <w:rFonts w:ascii="宋体" w:hAnsi="宋体" w:cs="宋体"/>
          <w:color w:val="000000"/>
          <w:sz w:val="21"/>
          <w:szCs w:val="21"/>
        </w:rPr>
        <w:t>项目</w:t>
      </w:r>
      <w:r>
        <w:rPr>
          <w:rFonts w:hint="eastAsia" w:ascii="宋体" w:hAnsi="宋体" w:cs="宋体"/>
          <w:color w:val="000000"/>
          <w:sz w:val="21"/>
          <w:szCs w:val="21"/>
          <w:lang w:eastAsia="zh-CN"/>
        </w:rPr>
        <w:t>比选</w:t>
      </w:r>
      <w:r>
        <w:rPr>
          <w:rFonts w:ascii="宋体" w:hAnsi="宋体" w:cs="宋体"/>
          <w:color w:val="000000"/>
          <w:sz w:val="21"/>
          <w:szCs w:val="21"/>
        </w:rPr>
        <w:t>文件编制活动，代表联合体提交和接收相关的资料、信息及指示，处理与之有关的一切事务，并负责合同实施阶段的主办、组织和协调工作。</w:t>
      </w:r>
      <w:r>
        <w:rPr>
          <w:rFonts w:hint="eastAsia" w:ascii="宋体" w:hAnsi="宋体" w:cs="宋体"/>
          <w:color w:val="000000"/>
          <w:sz w:val="21"/>
          <w:szCs w:val="21"/>
        </w:rPr>
        <w:t>如涉及联合体其他方承诺和义务，需经联合体各方履行内部决策后方可提交牵头人汇总。</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hint="eastAsia" w:ascii="宋体" w:hAnsi="宋体" w:cs="宋体"/>
          <w:color w:val="000000"/>
          <w:sz w:val="21"/>
          <w:szCs w:val="21"/>
          <w:lang w:val="en-US" w:eastAsia="zh-CN"/>
        </w:rPr>
        <w:t>3.</w:t>
      </w:r>
      <w:r>
        <w:rPr>
          <w:rFonts w:ascii="宋体" w:hAnsi="宋体" w:cs="宋体"/>
          <w:color w:val="000000"/>
          <w:sz w:val="21"/>
          <w:szCs w:val="21"/>
        </w:rPr>
        <w:t>联合体将严格按照</w:t>
      </w:r>
      <w:r>
        <w:rPr>
          <w:rFonts w:hint="eastAsia" w:ascii="宋体" w:hAnsi="宋体" w:cs="宋体"/>
          <w:color w:val="000000"/>
          <w:sz w:val="21"/>
          <w:szCs w:val="21"/>
          <w:lang w:eastAsia="zh-CN"/>
        </w:rPr>
        <w:t>比选</w:t>
      </w:r>
      <w:r>
        <w:rPr>
          <w:rFonts w:ascii="宋体" w:hAnsi="宋体" w:cs="宋体"/>
          <w:color w:val="000000"/>
          <w:sz w:val="21"/>
          <w:szCs w:val="21"/>
        </w:rPr>
        <w:t>文件的各项要求，递交</w:t>
      </w:r>
      <w:r>
        <w:rPr>
          <w:rFonts w:hint="eastAsia" w:ascii="宋体" w:hAnsi="宋体" w:cs="宋体"/>
          <w:color w:val="000000"/>
          <w:sz w:val="21"/>
          <w:szCs w:val="21"/>
          <w:lang w:eastAsia="zh-CN"/>
        </w:rPr>
        <w:t>比选申请</w:t>
      </w:r>
      <w:r>
        <w:rPr>
          <w:rFonts w:ascii="宋体" w:hAnsi="宋体" w:cs="宋体"/>
          <w:color w:val="000000"/>
          <w:sz w:val="21"/>
          <w:szCs w:val="21"/>
        </w:rPr>
        <w:t>文件，履行合同，并对外</w:t>
      </w:r>
      <w:r>
        <w:rPr>
          <w:rFonts w:hint="eastAsia" w:ascii="宋体" w:hAnsi="宋体" w:cs="宋体"/>
          <w:color w:val="000000"/>
          <w:sz w:val="21"/>
          <w:szCs w:val="21"/>
        </w:rPr>
        <w:t>按照合同约定的职责划分独立承担法律责任</w:t>
      </w:r>
      <w:r>
        <w:rPr>
          <w:rFonts w:ascii="宋体" w:hAnsi="宋体" w:cs="宋体"/>
          <w:color w:val="000000"/>
          <w:sz w:val="21"/>
          <w:szCs w:val="21"/>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ascii="宋体" w:hAnsi="宋体" w:cs="宋体"/>
          <w:color w:val="000000"/>
          <w:sz w:val="21"/>
          <w:szCs w:val="21"/>
        </w:rPr>
      </w:pPr>
      <w:r>
        <w:rPr>
          <w:rFonts w:ascii="宋体" w:hAnsi="宋体" w:cs="宋体"/>
          <w:color w:val="000000"/>
          <w:sz w:val="21"/>
          <w:szCs w:val="21"/>
        </w:rPr>
        <w:t>4</w:t>
      </w:r>
      <w:r>
        <w:rPr>
          <w:rFonts w:hint="eastAsia" w:ascii="宋体" w:hAnsi="宋体" w:cs="宋体"/>
          <w:color w:val="000000"/>
          <w:sz w:val="21"/>
          <w:szCs w:val="21"/>
          <w:lang w:val="en-US" w:eastAsia="zh-CN"/>
        </w:rPr>
        <w:t>.</w:t>
      </w:r>
      <w:r>
        <w:rPr>
          <w:rFonts w:ascii="宋体" w:hAnsi="宋体" w:cs="宋体"/>
          <w:color w:val="000000"/>
          <w:sz w:val="21"/>
          <w:szCs w:val="21"/>
        </w:rPr>
        <w:t>联合体各成员单位内部的职责分工如下：</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作为主承销商及薄记管理人；</w:t>
      </w:r>
      <w:r>
        <w:rPr>
          <w:rFonts w:hint="eastAsia" w:ascii="宋体" w:hAnsi="宋体" w:cs="宋体"/>
          <w:color w:val="000000"/>
          <w:sz w:val="21"/>
          <w:szCs w:val="21"/>
          <w:u w:val="single"/>
          <w:lang w:val="en-US" w:eastAsia="zh-CN"/>
        </w:rPr>
        <w:t xml:space="preserve">                          </w:t>
      </w:r>
      <w:r>
        <w:rPr>
          <w:rFonts w:ascii="宋体" w:hAnsi="宋体" w:cs="宋体"/>
          <w:color w:val="000000"/>
          <w:sz w:val="21"/>
          <w:szCs w:val="21"/>
        </w:rPr>
        <w:t>作为联席</w:t>
      </w:r>
      <w:r>
        <w:rPr>
          <w:rFonts w:hint="eastAsia" w:ascii="宋体" w:hAnsi="宋体" w:cs="宋体"/>
          <w:color w:val="000000"/>
          <w:sz w:val="21"/>
          <w:szCs w:val="21"/>
        </w:rPr>
        <w:t>主</w:t>
      </w:r>
      <w:r>
        <w:rPr>
          <w:rFonts w:ascii="宋体" w:hAnsi="宋体" w:cs="宋体"/>
          <w:color w:val="000000"/>
          <w:sz w:val="21"/>
          <w:szCs w:val="21"/>
        </w:rPr>
        <w:t>承销商。</w:t>
      </w:r>
    </w:p>
    <w:p>
      <w:pPr>
        <w:keepNext w:val="0"/>
        <w:keepLines w:val="0"/>
        <w:pageBreakBefore w:val="0"/>
        <w:widowControl w:val="0"/>
        <w:kinsoku/>
        <w:wordWrap/>
        <w:overflowPunct/>
        <w:topLinePunct w:val="0"/>
        <w:autoSpaceDE w:val="0"/>
        <w:autoSpaceDN w:val="0"/>
        <w:bidi w:val="0"/>
        <w:adjustRightInd/>
        <w:snapToGrid/>
        <w:spacing w:line="560" w:lineRule="exact"/>
        <w:ind w:firstLine="420" w:firstLineChars="200"/>
        <w:textAlignment w:val="auto"/>
        <w:outlineLvl w:val="9"/>
        <w:rPr>
          <w:rFonts w:hint="eastAsia" w:ascii="宋体" w:hAnsi="宋体" w:cs="宋体"/>
          <w:color w:val="000000"/>
          <w:sz w:val="21"/>
          <w:szCs w:val="21"/>
        </w:rPr>
      </w:pPr>
      <w:r>
        <w:rPr>
          <w:rFonts w:hint="eastAsia" w:ascii="宋体" w:hAnsi="宋体" w:cs="宋体"/>
          <w:color w:val="000000"/>
          <w:sz w:val="21"/>
          <w:szCs w:val="21"/>
        </w:rPr>
        <w:t>特此声明。</w:t>
      </w:r>
    </w:p>
    <w:p>
      <w:pPr>
        <w:autoSpaceDE w:val="0"/>
        <w:autoSpaceDN w:val="0"/>
        <w:spacing w:line="560" w:lineRule="exact"/>
        <w:ind w:firstLine="319" w:firstLineChars="152"/>
        <w:rPr>
          <w:rFonts w:hint="eastAsia" w:ascii="宋体" w:hAnsi="宋体" w:cs="宋体"/>
          <w:color w:val="000000"/>
          <w:sz w:val="21"/>
          <w:szCs w:val="21"/>
        </w:rPr>
      </w:pPr>
    </w:p>
    <w:p>
      <w:pPr>
        <w:autoSpaceDE w:val="0"/>
        <w:autoSpaceDN w:val="0"/>
        <w:spacing w:line="560" w:lineRule="exact"/>
        <w:ind w:firstLine="319" w:firstLineChars="152"/>
        <w:rPr>
          <w:rFonts w:ascii="宋体" w:hAnsi="宋体" w:cs="宋体"/>
          <w:color w:val="000000"/>
          <w:sz w:val="21"/>
          <w:szCs w:val="21"/>
        </w:rPr>
      </w:pPr>
    </w:p>
    <w:p>
      <w:pPr>
        <w:wordWrap w:val="0"/>
        <w:autoSpaceDE w:val="0"/>
        <w:autoSpaceDN w:val="0"/>
        <w:spacing w:line="560" w:lineRule="exact"/>
        <w:ind w:firstLine="420" w:firstLineChars="200"/>
        <w:jc w:val="both"/>
        <w:rPr>
          <w:rFonts w:hint="eastAsia" w:ascii="宋体" w:hAnsi="宋体" w:eastAsia="宋体" w:cs="宋体"/>
          <w:color w:val="000000"/>
          <w:sz w:val="21"/>
          <w:szCs w:val="21"/>
          <w:lang w:val="en-US" w:eastAsia="zh-CN"/>
        </w:rPr>
      </w:pPr>
      <w:r>
        <w:rPr>
          <w:rFonts w:hint="eastAsia" w:ascii="宋体" w:hAnsi="宋体" w:cs="宋体"/>
          <w:color w:val="000000"/>
          <w:sz w:val="21"/>
          <w:szCs w:val="21"/>
        </w:rPr>
        <w:t>联合体单位（盖章）：</w:t>
      </w:r>
      <w:r>
        <w:rPr>
          <w:rFonts w:hint="eastAsia" w:ascii="宋体" w:hAnsi="宋体" w:cs="宋体"/>
          <w:color w:val="000000"/>
          <w:sz w:val="21"/>
          <w:szCs w:val="21"/>
          <w:u w:val="single"/>
          <w:lang w:val="en-US" w:eastAsia="zh-CN"/>
        </w:rPr>
        <w:t>（牵头主承销商）</w:t>
      </w:r>
      <w:r>
        <w:rPr>
          <w:rFonts w:hint="eastAsia" w:ascii="宋体" w:hAnsi="宋体" w:cs="宋体"/>
          <w:color w:val="000000"/>
          <w:sz w:val="21"/>
          <w:szCs w:val="21"/>
          <w:u w:val="none"/>
          <w:lang w:val="en-US" w:eastAsia="zh-CN"/>
        </w:rPr>
        <w:t>、</w:t>
      </w:r>
      <w:r>
        <w:rPr>
          <w:rFonts w:hint="eastAsia" w:ascii="宋体" w:hAnsi="宋体" w:cs="宋体"/>
          <w:color w:val="000000"/>
          <w:sz w:val="21"/>
          <w:szCs w:val="21"/>
          <w:u w:val="single"/>
          <w:lang w:val="en-US" w:eastAsia="zh-CN"/>
        </w:rPr>
        <w:t>（联席主承销商）</w:t>
      </w:r>
    </w:p>
    <w:p>
      <w:pPr>
        <w:autoSpaceDE w:val="0"/>
        <w:autoSpaceDN w:val="0"/>
        <w:spacing w:line="560" w:lineRule="exact"/>
        <w:ind w:firstLine="319" w:firstLineChars="152"/>
        <w:rPr>
          <w:rFonts w:hint="eastAsia" w:ascii="宋体" w:hAnsi="宋体" w:cs="宋体"/>
          <w:color w:val="000000"/>
          <w:sz w:val="21"/>
          <w:szCs w:val="21"/>
        </w:rPr>
      </w:pPr>
    </w:p>
    <w:p>
      <w:pPr>
        <w:wordWrap w:val="0"/>
        <w:autoSpaceDE w:val="0"/>
        <w:autoSpaceDN w:val="0"/>
        <w:spacing w:line="560" w:lineRule="exact"/>
        <w:ind w:firstLine="420" w:firstLineChars="200"/>
        <w:jc w:val="both"/>
        <w:rPr>
          <w:rFonts w:ascii="宋体" w:hAnsi="宋体" w:cs="宋体"/>
          <w:color w:val="000000"/>
          <w:sz w:val="21"/>
          <w:szCs w:val="21"/>
          <w:lang w:val="en-US"/>
        </w:rPr>
      </w:pPr>
      <w:r>
        <w:rPr>
          <w:rFonts w:hint="eastAsia" w:ascii="宋体" w:hAnsi="宋体" w:cs="宋体"/>
          <w:color w:val="000000"/>
          <w:sz w:val="21"/>
          <w:szCs w:val="21"/>
        </w:rPr>
        <w:t>联合体授权委托人签字</w:t>
      </w:r>
      <w:r>
        <w:rPr>
          <w:rFonts w:hint="eastAsia" w:ascii="宋体" w:hAnsi="宋体" w:cs="宋体"/>
          <w:color w:val="000000"/>
          <w:sz w:val="21"/>
          <w:szCs w:val="21"/>
          <w:lang w:eastAsia="zh-CN"/>
        </w:rPr>
        <w:t>或盖章</w:t>
      </w:r>
      <w:r>
        <w:rPr>
          <w:rFonts w:hint="eastAsia" w:ascii="宋体" w:hAnsi="宋体" w:cs="宋体"/>
          <w:color w:val="000000"/>
          <w:sz w:val="21"/>
          <w:szCs w:val="21"/>
        </w:rPr>
        <w:t>：</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none"/>
          <w:lang w:val="en-US" w:eastAsia="zh-CN"/>
        </w:rPr>
        <w:t>、</w:t>
      </w:r>
      <w:r>
        <w:rPr>
          <w:rFonts w:hint="eastAsia" w:ascii="宋体" w:hAnsi="宋体" w:cs="宋体"/>
          <w:color w:val="000000"/>
          <w:sz w:val="21"/>
          <w:szCs w:val="21"/>
          <w:u w:val="single"/>
          <w:lang w:val="en-US" w:eastAsia="zh-CN"/>
        </w:rPr>
        <w:t xml:space="preserve">                </w:t>
      </w:r>
    </w:p>
    <w:p>
      <w:pPr>
        <w:autoSpaceDE w:val="0"/>
        <w:autoSpaceDN w:val="0"/>
        <w:spacing w:line="560" w:lineRule="exact"/>
        <w:ind w:firstLine="319" w:firstLineChars="152"/>
        <w:jc w:val="right"/>
        <w:rPr>
          <w:rFonts w:hint="eastAsia" w:ascii="宋体" w:hAnsi="宋体" w:cs="宋体"/>
          <w:color w:val="000000"/>
          <w:sz w:val="21"/>
          <w:szCs w:val="21"/>
        </w:rPr>
      </w:pPr>
    </w:p>
    <w:p>
      <w:pPr>
        <w:autoSpaceDE w:val="0"/>
        <w:autoSpaceDN w:val="0"/>
        <w:spacing w:line="560" w:lineRule="exact"/>
        <w:ind w:firstLine="319" w:firstLineChars="152"/>
        <w:jc w:val="right"/>
        <w:rPr>
          <w:rFonts w:ascii="宋体" w:hAnsi="宋体" w:cs="宋体"/>
          <w:color w:val="000000"/>
          <w:sz w:val="21"/>
          <w:szCs w:val="21"/>
        </w:rPr>
      </w:pPr>
      <w:r>
        <w:rPr>
          <w:rFonts w:hint="eastAsia" w:ascii="宋体" w:hAnsi="宋体" w:cs="宋体"/>
          <w:color w:val="000000"/>
          <w:sz w:val="21"/>
          <w:szCs w:val="21"/>
        </w:rPr>
        <w:t>日期：     年   月   日</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outlineLvl w:val="9"/>
        <w:rPr>
          <w:rFonts w:hint="eastAsia" w:ascii="宋体" w:hAnsi="宋体" w:eastAsia="宋体" w:cs="宋体"/>
          <w:color w:val="000000"/>
          <w:sz w:val="28"/>
          <w:szCs w:val="28"/>
          <w:lang w:val="en-US" w:eastAsia="zh-CN"/>
        </w:rPr>
      </w:pPr>
    </w:p>
    <w:p>
      <w:pPr>
        <w:autoSpaceDE w:val="0"/>
        <w:autoSpaceDN w:val="0"/>
        <w:adjustRightInd w:val="0"/>
        <w:spacing w:before="74" w:line="360" w:lineRule="auto"/>
        <w:ind w:left="120" w:right="-29" w:firstLine="420"/>
        <w:jc w:val="left"/>
        <w:rPr>
          <w:rFonts w:hint="eastAsia" w:ascii="仿宋_GB2312" w:hAnsi="宋体" w:eastAsia="仿宋_GB2312" w:cs="宋体"/>
          <w:b/>
          <w:bCs/>
          <w:kern w:val="0"/>
          <w:sz w:val="24"/>
        </w:rPr>
      </w:pPr>
    </w:p>
    <w:p>
      <w:pPr>
        <w:pStyle w:val="5"/>
        <w:rPr>
          <w:rFonts w:hint="eastAsia" w:ascii="仿宋_GB2312" w:hAnsi="宋体" w:eastAsia="仿宋_GB2312" w:cs="宋体"/>
          <w:b/>
          <w:bCs/>
          <w:kern w:val="0"/>
          <w:sz w:val="24"/>
        </w:rPr>
      </w:pPr>
    </w:p>
    <w:p>
      <w:pPr>
        <w:rPr>
          <w:rFonts w:hint="eastAsia" w:ascii="仿宋_GB2312" w:hAnsi="宋体" w:eastAsia="仿宋_GB2312" w:cs="宋体"/>
          <w:b/>
          <w:bCs/>
          <w:kern w:val="0"/>
          <w:sz w:val="24"/>
        </w:rPr>
      </w:pPr>
    </w:p>
    <w:p>
      <w:pPr>
        <w:pStyle w:val="5"/>
        <w:rPr>
          <w:rFonts w:hint="eastAsia"/>
        </w:rPr>
      </w:pPr>
    </w:p>
    <w:p>
      <w:pPr>
        <w:rPr>
          <w:rFonts w:hint="eastAsia"/>
        </w:rPr>
      </w:pPr>
    </w:p>
    <w:p>
      <w:pPr>
        <w:pStyle w:val="5"/>
        <w:rPr>
          <w:rFonts w:hint="eastAsia"/>
        </w:rPr>
      </w:pPr>
    </w:p>
    <w:bookmarkEnd w:id="26"/>
    <w:p>
      <w:pPr>
        <w:spacing w:before="312" w:beforeLines="100" w:after="312" w:afterLines="100" w:line="560" w:lineRule="exact"/>
        <w:jc w:val="center"/>
        <w:rPr>
          <w:rFonts w:ascii="宋体" w:hAnsi="宋体" w:cs="楷体"/>
          <w:b/>
          <w:kern w:val="0"/>
          <w:sz w:val="28"/>
        </w:rPr>
      </w:pPr>
      <w:r>
        <w:rPr>
          <w:rFonts w:hint="eastAsia" w:ascii="宋体" w:hAnsi="宋体" w:cs="楷体"/>
          <w:b/>
          <w:kern w:val="0"/>
          <w:sz w:val="28"/>
        </w:rPr>
        <w:t>（</w:t>
      </w:r>
      <w:r>
        <w:rPr>
          <w:rFonts w:hint="eastAsia" w:ascii="宋体" w:hAnsi="宋体" w:cs="楷体"/>
          <w:b/>
          <w:kern w:val="0"/>
          <w:sz w:val="28"/>
          <w:lang w:eastAsia="zh-CN"/>
        </w:rPr>
        <w:t>五</w:t>
      </w:r>
      <w:r>
        <w:rPr>
          <w:rFonts w:hint="eastAsia" w:ascii="宋体" w:hAnsi="宋体" w:cs="楷体"/>
          <w:b/>
          <w:kern w:val="0"/>
          <w:sz w:val="28"/>
        </w:rPr>
        <w:t xml:space="preserve">）声 </w:t>
      </w:r>
      <w:r>
        <w:rPr>
          <w:rFonts w:ascii="宋体" w:hAnsi="宋体" w:cs="楷体"/>
          <w:b/>
          <w:kern w:val="0"/>
          <w:sz w:val="28"/>
        </w:rPr>
        <w:t xml:space="preserve">  </w:t>
      </w:r>
      <w:r>
        <w:rPr>
          <w:rFonts w:hint="eastAsia" w:ascii="宋体" w:hAnsi="宋体" w:cs="楷体"/>
          <w:b/>
          <w:kern w:val="0"/>
          <w:sz w:val="28"/>
        </w:rPr>
        <w:t>明</w:t>
      </w:r>
    </w:p>
    <w:p>
      <w:pPr>
        <w:widowControl/>
        <w:spacing w:after="240" w:line="460" w:lineRule="exact"/>
        <w:ind w:firstLine="420" w:firstLineChars="200"/>
        <w:jc w:val="left"/>
        <w:rPr>
          <w:rFonts w:ascii="宋体" w:hAnsi="宋体"/>
          <w:kern w:val="0"/>
          <w:szCs w:val="21"/>
        </w:rPr>
      </w:pPr>
      <w:r>
        <w:rPr>
          <w:rFonts w:ascii="宋体" w:hAnsi="宋体"/>
          <w:kern w:val="0"/>
          <w:szCs w:val="21"/>
          <w:u w:val="single"/>
        </w:rPr>
        <w:t xml:space="preserve">                      </w:t>
      </w:r>
      <w:r>
        <w:rPr>
          <w:rFonts w:ascii="宋体" w:hAnsi="宋体"/>
          <w:kern w:val="0"/>
          <w:szCs w:val="21"/>
        </w:rPr>
        <w:t>（</w:t>
      </w:r>
      <w:r>
        <w:rPr>
          <w:rFonts w:hint="eastAsia" w:ascii="宋体" w:hAnsi="宋体"/>
          <w:kern w:val="0"/>
          <w:szCs w:val="21"/>
        </w:rPr>
        <w:t>比选</w:t>
      </w:r>
      <w:r>
        <w:rPr>
          <w:rFonts w:ascii="宋体" w:hAnsi="宋体"/>
          <w:kern w:val="0"/>
          <w:szCs w:val="21"/>
        </w:rPr>
        <w:t>申请人）现参加</w:t>
      </w:r>
      <w:r>
        <w:rPr>
          <w:rFonts w:ascii="宋体" w:hAnsi="宋体"/>
          <w:kern w:val="0"/>
          <w:szCs w:val="21"/>
          <w:u w:val="single"/>
        </w:rPr>
        <w:t xml:space="preserve">             </w:t>
      </w:r>
      <w:r>
        <w:rPr>
          <w:rFonts w:hint="eastAsia" w:ascii="宋体" w:hAnsi="宋体"/>
          <w:kern w:val="0"/>
          <w:szCs w:val="21"/>
          <w:lang w:eastAsia="zh-CN"/>
        </w:rPr>
        <w:t>（比选项目名称）</w:t>
      </w:r>
      <w:r>
        <w:rPr>
          <w:rFonts w:hint="eastAsia" w:ascii="宋体" w:hAnsi="宋体"/>
          <w:kern w:val="0"/>
          <w:szCs w:val="21"/>
        </w:rPr>
        <w:t>比选</w:t>
      </w:r>
      <w:r>
        <w:rPr>
          <w:rFonts w:ascii="宋体" w:hAnsi="宋体"/>
          <w:kern w:val="0"/>
          <w:szCs w:val="21"/>
        </w:rPr>
        <w:t>活动，特此声明：</w:t>
      </w:r>
    </w:p>
    <w:p>
      <w:pPr>
        <w:tabs>
          <w:tab w:val="left" w:pos="1580"/>
          <w:tab w:val="left" w:pos="6000"/>
          <w:tab w:val="left" w:pos="6320"/>
          <w:tab w:val="left" w:pos="6887"/>
        </w:tabs>
        <w:snapToGrid w:val="0"/>
        <w:spacing w:line="440" w:lineRule="exact"/>
        <w:ind w:firstLine="420" w:firstLineChars="200"/>
        <w:rPr>
          <w:rFonts w:hint="eastAsia" w:ascii="宋体" w:hAnsi="宋体"/>
          <w:snapToGrid w:val="0"/>
          <w:szCs w:val="21"/>
          <w:highlight w:val="none"/>
        </w:rPr>
      </w:pPr>
      <w:r>
        <w:rPr>
          <w:rFonts w:hint="eastAsia" w:ascii="宋体" w:hAnsi="宋体"/>
          <w:kern w:val="0"/>
          <w:szCs w:val="21"/>
          <w:lang w:val="en-US" w:eastAsia="zh-CN"/>
        </w:rPr>
        <w:t>1.</w:t>
      </w:r>
      <w:r>
        <w:rPr>
          <w:rFonts w:hint="eastAsia" w:ascii="宋体" w:hAnsi="宋体"/>
          <w:snapToGrid w:val="0"/>
          <w:szCs w:val="21"/>
          <w:highlight w:val="none"/>
        </w:rPr>
        <w:t>近三年在经营活动中</w:t>
      </w:r>
      <w:r>
        <w:rPr>
          <w:rFonts w:hint="eastAsia" w:ascii="宋体" w:hAnsi="宋体"/>
          <w:snapToGrid w:val="0"/>
          <w:szCs w:val="21"/>
          <w:highlight w:val="none"/>
          <w:lang w:eastAsia="zh-CN"/>
        </w:rPr>
        <w:t>没有</w:t>
      </w:r>
      <w:r>
        <w:rPr>
          <w:rFonts w:hint="eastAsia" w:ascii="宋体" w:hAnsi="宋体"/>
          <w:snapToGrid w:val="0"/>
          <w:szCs w:val="21"/>
          <w:highlight w:val="none"/>
        </w:rPr>
        <w:t>重大违法记录或失信记录</w:t>
      </w:r>
      <w:r>
        <w:rPr>
          <w:rFonts w:hint="eastAsia" w:ascii="宋体" w:hAnsi="宋体"/>
          <w:snapToGrid w:val="0"/>
          <w:szCs w:val="21"/>
          <w:highlight w:val="none"/>
          <w:lang w:eastAsia="zh-CN"/>
        </w:rPr>
        <w:t>；没有</w:t>
      </w:r>
      <w:r>
        <w:rPr>
          <w:rFonts w:hint="eastAsia" w:ascii="宋体" w:hAnsi="宋体"/>
          <w:snapToGrid w:val="0"/>
          <w:szCs w:val="21"/>
          <w:highlight w:val="none"/>
        </w:rPr>
        <w:t>受到过</w:t>
      </w:r>
      <w:r>
        <w:rPr>
          <w:rFonts w:hint="eastAsia" w:ascii="宋体" w:hAnsi="宋体"/>
          <w:snapToGrid w:val="0"/>
          <w:szCs w:val="21"/>
          <w:highlight w:val="none"/>
          <w:lang w:eastAsia="zh-CN"/>
        </w:rPr>
        <w:t>监管部门</w:t>
      </w:r>
      <w:r>
        <w:rPr>
          <w:rFonts w:hint="eastAsia" w:ascii="宋体" w:hAnsi="宋体"/>
          <w:snapToGrid w:val="0"/>
          <w:szCs w:val="21"/>
          <w:highlight w:val="none"/>
        </w:rPr>
        <w:t>严重行政处罚并暂停债券发行相关业务。</w:t>
      </w:r>
    </w:p>
    <w:p>
      <w:pPr>
        <w:widowControl/>
        <w:spacing w:after="240" w:line="460" w:lineRule="exact"/>
        <w:ind w:firstLine="420" w:firstLineChars="200"/>
        <w:jc w:val="left"/>
        <w:rPr>
          <w:rFonts w:hint="eastAsia" w:ascii="宋体" w:hAnsi="宋体" w:eastAsia="宋体" w:cs="Times New Roman"/>
          <w:b w:val="0"/>
          <w:snapToGrid w:val="0"/>
          <w:kern w:val="2"/>
          <w:sz w:val="21"/>
          <w:szCs w:val="21"/>
          <w:highlight w:val="none"/>
          <w:lang w:val="en-US" w:eastAsia="zh-CN"/>
        </w:rPr>
      </w:pPr>
      <w:r>
        <w:rPr>
          <w:rFonts w:hint="eastAsia" w:ascii="宋体" w:hAnsi="宋体" w:cs="Times New Roman"/>
          <w:b w:val="0"/>
          <w:snapToGrid w:val="0"/>
          <w:kern w:val="2"/>
          <w:sz w:val="21"/>
          <w:szCs w:val="21"/>
          <w:highlight w:val="none"/>
          <w:lang w:val="en-US" w:eastAsia="zh-CN"/>
        </w:rPr>
        <w:t>2.</w:t>
      </w:r>
      <w:r>
        <w:rPr>
          <w:rFonts w:hint="eastAsia" w:ascii="宋体" w:hAnsi="宋体" w:eastAsia="宋体" w:cs="Times New Roman"/>
          <w:b w:val="0"/>
          <w:snapToGrid w:val="0"/>
          <w:kern w:val="2"/>
          <w:sz w:val="21"/>
          <w:szCs w:val="21"/>
          <w:highlight w:val="none"/>
          <w:lang w:val="en-US" w:eastAsia="zh-CN"/>
        </w:rPr>
        <w:t>公司内部控制规范，财务报表未被注册会计师出具否定意见或者无法出具意见。</w:t>
      </w:r>
    </w:p>
    <w:p>
      <w:pPr>
        <w:widowControl/>
        <w:spacing w:after="240" w:line="460" w:lineRule="exact"/>
        <w:ind w:firstLine="420" w:firstLineChars="200"/>
        <w:jc w:val="left"/>
        <w:rPr>
          <w:rFonts w:ascii="宋体" w:hAnsi="宋体"/>
          <w:kern w:val="0"/>
          <w:szCs w:val="21"/>
        </w:rPr>
      </w:pPr>
      <w:r>
        <w:rPr>
          <w:rFonts w:hint="eastAsia" w:ascii="宋体" w:hAnsi="宋体"/>
          <w:kern w:val="0"/>
          <w:szCs w:val="21"/>
          <w:lang w:val="en-US" w:eastAsia="zh-CN"/>
        </w:rPr>
        <w:t>3.</w:t>
      </w:r>
      <w:r>
        <w:rPr>
          <w:rFonts w:hint="eastAsia" w:ascii="宋体" w:hAnsi="宋体"/>
          <w:kern w:val="0"/>
          <w:szCs w:val="21"/>
        </w:rPr>
        <w:t>若我方</w:t>
      </w:r>
      <w:r>
        <w:rPr>
          <w:rFonts w:ascii="宋体" w:hAnsi="宋体"/>
          <w:kern w:val="0"/>
          <w:szCs w:val="21"/>
        </w:rPr>
        <w:t>中</w:t>
      </w:r>
      <w:r>
        <w:rPr>
          <w:rFonts w:hint="eastAsia" w:ascii="宋体" w:hAnsi="宋体"/>
          <w:kern w:val="0"/>
          <w:szCs w:val="21"/>
        </w:rPr>
        <w:t>标</w:t>
      </w:r>
      <w:r>
        <w:rPr>
          <w:rFonts w:ascii="宋体" w:hAnsi="宋体"/>
          <w:kern w:val="0"/>
          <w:szCs w:val="21"/>
        </w:rPr>
        <w:t>，本公司及其附属机构将为</w:t>
      </w:r>
      <w:r>
        <w:rPr>
          <w:rFonts w:hint="eastAsia" w:ascii="宋体" w:hAnsi="宋体"/>
          <w:kern w:val="0"/>
          <w:szCs w:val="21"/>
        </w:rPr>
        <w:t>重庆共享工业投资有限公司</w:t>
      </w:r>
      <w:r>
        <w:rPr>
          <w:rFonts w:ascii="宋体" w:hAnsi="宋体"/>
          <w:kern w:val="0"/>
          <w:szCs w:val="21"/>
        </w:rPr>
        <w:t>提供</w:t>
      </w:r>
      <w:r>
        <w:rPr>
          <w:rFonts w:hint="eastAsia" w:ascii="宋体" w:hAnsi="宋体"/>
          <w:kern w:val="0"/>
          <w:szCs w:val="21"/>
        </w:rPr>
        <w:t>符合</w:t>
      </w:r>
      <w:r>
        <w:rPr>
          <w:rFonts w:ascii="宋体" w:hAnsi="宋体"/>
          <w:kern w:val="0"/>
          <w:szCs w:val="21"/>
        </w:rPr>
        <w:t>国家相关法规、标准、规范规定及经双方协议订立合同的服务。</w:t>
      </w:r>
    </w:p>
    <w:p>
      <w:pPr>
        <w:widowControl/>
        <w:spacing w:after="240" w:line="460" w:lineRule="exact"/>
        <w:ind w:firstLine="420" w:firstLineChars="200"/>
        <w:jc w:val="left"/>
        <w:rPr>
          <w:rFonts w:ascii="宋体" w:hAnsi="宋体"/>
          <w:kern w:val="0"/>
          <w:szCs w:val="21"/>
        </w:rPr>
      </w:pPr>
      <w:r>
        <w:rPr>
          <w:rFonts w:ascii="宋体" w:hAnsi="宋体"/>
          <w:kern w:val="0"/>
          <w:szCs w:val="21"/>
        </w:rPr>
        <w:t>如违反以上声明，本</w:t>
      </w:r>
      <w:r>
        <w:rPr>
          <w:rFonts w:hint="eastAsia" w:ascii="宋体" w:hAnsi="宋体"/>
          <w:kern w:val="0"/>
          <w:szCs w:val="21"/>
        </w:rPr>
        <w:t>单位</w:t>
      </w:r>
      <w:r>
        <w:rPr>
          <w:rFonts w:ascii="宋体" w:hAnsi="宋体"/>
          <w:kern w:val="0"/>
          <w:szCs w:val="21"/>
        </w:rPr>
        <w:t>愿承担一切法律责任(包括不收取咨询费、支付复审费、市场禁入、赔偿损失等)。</w:t>
      </w:r>
    </w:p>
    <w:p>
      <w:pPr>
        <w:widowControl/>
        <w:spacing w:after="240" w:line="460" w:lineRule="exact"/>
        <w:ind w:firstLine="2730" w:firstLineChars="1300"/>
        <w:jc w:val="left"/>
        <w:rPr>
          <w:rFonts w:ascii="宋体" w:hAnsi="宋体"/>
          <w:kern w:val="0"/>
          <w:szCs w:val="21"/>
        </w:rPr>
      </w:pPr>
    </w:p>
    <w:p>
      <w:pPr>
        <w:widowControl/>
        <w:spacing w:after="240" w:line="460" w:lineRule="exact"/>
        <w:ind w:firstLine="2730" w:firstLineChars="1300"/>
        <w:jc w:val="left"/>
        <w:rPr>
          <w:rFonts w:ascii="宋体" w:hAnsi="宋体"/>
          <w:kern w:val="0"/>
          <w:szCs w:val="21"/>
        </w:rPr>
      </w:pPr>
      <w:r>
        <w:rPr>
          <w:rFonts w:hint="eastAsia" w:ascii="宋体" w:hAnsi="宋体"/>
          <w:kern w:val="0"/>
          <w:szCs w:val="21"/>
        </w:rPr>
        <w:t>比选</w:t>
      </w:r>
      <w:r>
        <w:rPr>
          <w:rFonts w:ascii="宋体" w:hAnsi="宋体"/>
          <w:kern w:val="0"/>
          <w:szCs w:val="21"/>
        </w:rPr>
        <w:t>申请人：__________________________(</w:t>
      </w:r>
      <w:r>
        <w:rPr>
          <w:rFonts w:hint="eastAsia" w:ascii="宋体" w:hAnsi="宋体"/>
          <w:kern w:val="0"/>
          <w:szCs w:val="21"/>
        </w:rPr>
        <w:t>加</w:t>
      </w:r>
      <w:r>
        <w:rPr>
          <w:rFonts w:ascii="宋体" w:hAnsi="宋体"/>
          <w:kern w:val="0"/>
          <w:szCs w:val="21"/>
        </w:rPr>
        <w:t>盖单位公章)</w:t>
      </w:r>
    </w:p>
    <w:p>
      <w:pPr>
        <w:widowControl/>
        <w:spacing w:after="240" w:line="460" w:lineRule="exact"/>
        <w:ind w:right="210" w:firstLine="2730" w:firstLineChars="1300"/>
        <w:jc w:val="left"/>
        <w:rPr>
          <w:rFonts w:ascii="宋体" w:hAnsi="宋体"/>
          <w:kern w:val="0"/>
          <w:szCs w:val="21"/>
        </w:rPr>
      </w:pPr>
      <w:r>
        <w:rPr>
          <w:rFonts w:ascii="宋体" w:hAnsi="宋体"/>
          <w:kern w:val="0"/>
          <w:szCs w:val="21"/>
        </w:rPr>
        <w:t>法定代表人或其委托代理人：______________（签字</w:t>
      </w:r>
      <w:r>
        <w:rPr>
          <w:rFonts w:hint="eastAsia" w:ascii="宋体" w:hAnsi="宋体"/>
          <w:kern w:val="0"/>
          <w:szCs w:val="21"/>
        </w:rPr>
        <w:t>或盖章</w:t>
      </w:r>
      <w:r>
        <w:rPr>
          <w:rFonts w:ascii="宋体" w:hAnsi="宋体"/>
          <w:kern w:val="0"/>
          <w:szCs w:val="21"/>
        </w:rPr>
        <w:t>）</w:t>
      </w:r>
    </w:p>
    <w:p>
      <w:pPr>
        <w:tabs>
          <w:tab w:val="left" w:pos="4005"/>
          <w:tab w:val="left" w:pos="4100"/>
          <w:tab w:val="left" w:pos="5040"/>
        </w:tabs>
        <w:autoSpaceDE w:val="0"/>
        <w:autoSpaceDN w:val="0"/>
        <w:adjustRightInd w:val="0"/>
        <w:snapToGrid w:val="0"/>
        <w:spacing w:line="360" w:lineRule="auto"/>
        <w:ind w:firstLine="2730" w:firstLineChars="1300"/>
        <w:jc w:val="left"/>
        <w:rPr>
          <w:rFonts w:ascii="宋体" w:hAnsi="宋体" w:cs="楷体"/>
          <w:b/>
          <w:kern w:val="0"/>
          <w:sz w:val="28"/>
        </w:rPr>
        <w:sectPr>
          <w:headerReference r:id="rId5" w:type="first"/>
          <w:headerReference r:id="rId4" w:type="default"/>
          <w:footerReference r:id="rId6" w:type="default"/>
          <w:pgSz w:w="11906" w:h="16838"/>
          <w:pgMar w:top="992" w:right="1558" w:bottom="850" w:left="1701" w:header="851" w:footer="992" w:gutter="0"/>
          <w:pgNumType w:start="0"/>
          <w:cols w:space="0" w:num="1"/>
          <w:titlePg/>
          <w:docGrid w:type="lines" w:linePitch="312" w:charSpace="0"/>
        </w:sect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p>
    <w:p>
      <w:pPr>
        <w:numPr>
          <w:ilvl w:val="0"/>
          <w:numId w:val="2"/>
        </w:numPr>
        <w:autoSpaceDE/>
        <w:autoSpaceDN/>
        <w:adjustRightInd/>
        <w:spacing w:before="313" w:beforeLines="100" w:after="313" w:afterLines="100" w:line="560" w:lineRule="exact"/>
        <w:ind w:left="843" w:right="0" w:hanging="843" w:hangingChars="300"/>
        <w:jc w:val="both"/>
        <w:outlineLvl w:val="9"/>
        <w:rPr>
          <w:rFonts w:hint="eastAsia" w:ascii="宋体" w:hAnsi="宋体" w:cs="楷体"/>
          <w:b/>
          <w:bCs w:val="0"/>
          <w:kern w:val="0"/>
          <w:sz w:val="28"/>
          <w:lang w:val="en-US" w:eastAsia="zh-CN"/>
        </w:rPr>
      </w:pPr>
      <w:r>
        <w:rPr>
          <w:rFonts w:hint="eastAsia" w:ascii="宋体" w:hAnsi="宋体" w:eastAsia="宋体" w:cs="楷体"/>
          <w:b/>
          <w:bCs w:val="0"/>
          <w:kern w:val="0"/>
          <w:sz w:val="28"/>
        </w:rPr>
        <w:t>营业执照副本复印件</w:t>
      </w:r>
      <w:r>
        <w:rPr>
          <w:rFonts w:hint="eastAsia" w:ascii="宋体" w:hAnsi="宋体" w:cs="楷体"/>
          <w:b/>
          <w:bCs w:val="0"/>
          <w:kern w:val="0"/>
          <w:sz w:val="28"/>
          <w:lang w:eastAsia="zh-CN"/>
        </w:rPr>
        <w:t>、</w:t>
      </w:r>
      <w:r>
        <w:rPr>
          <w:rFonts w:hint="eastAsia" w:ascii="宋体" w:hAnsi="宋体" w:cs="楷体"/>
          <w:b/>
          <w:bCs w:val="0"/>
          <w:kern w:val="0"/>
          <w:sz w:val="28"/>
          <w:lang w:val="en-US" w:eastAsia="zh-CN"/>
        </w:rPr>
        <w:t>主承销商资格证明、</w:t>
      </w:r>
      <w:r>
        <w:rPr>
          <w:rFonts w:hint="eastAsia" w:ascii="宋体" w:hAnsi="宋体" w:eastAsia="宋体" w:cs="楷体"/>
          <w:b/>
          <w:bCs w:val="0"/>
          <w:kern w:val="0"/>
          <w:sz w:val="28"/>
          <w:lang w:eastAsia="zh-CN"/>
        </w:rPr>
        <w:t>相关业绩证明</w:t>
      </w:r>
      <w:r>
        <w:rPr>
          <w:rFonts w:hint="eastAsia" w:ascii="宋体" w:hAnsi="宋体" w:cs="楷体"/>
          <w:b/>
          <w:bCs w:val="0"/>
          <w:kern w:val="0"/>
          <w:sz w:val="28"/>
          <w:lang w:val="en-US" w:eastAsia="zh-CN"/>
        </w:rPr>
        <w:t>及其他印证材料</w:t>
      </w:r>
    </w:p>
    <w:p>
      <w:pPr>
        <w:pStyle w:val="2"/>
        <w:widowControl w:val="0"/>
        <w:numPr>
          <w:ilvl w:val="0"/>
          <w:numId w:val="0"/>
        </w:numPr>
        <w:jc w:val="both"/>
        <w:rPr>
          <w:rFonts w:hint="default"/>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sectPr>
      <w:headerReference r:id="rId8" w:type="first"/>
      <w:headerReference r:id="rId7" w:type="default"/>
      <w:footerReference r:id="rId9" w:type="default"/>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8</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9"/>
      </w:rPr>
    </w:pPr>
    <w:r>
      <w:fldChar w:fldCharType="begin"/>
    </w:r>
    <w:r>
      <w:rPr>
        <w:rStyle w:val="29"/>
      </w:rPr>
      <w:instrText xml:space="preserve">PAGE  </w:instrText>
    </w:r>
    <w:r>
      <w:fldChar w:fldCharType="separate"/>
    </w:r>
    <w:r>
      <w:rPr>
        <w:rStyle w:val="29"/>
      </w:rPr>
      <w:t>1</w:t>
    </w:r>
    <w:r>
      <w:fldChar w:fldCharType="end"/>
    </w:r>
  </w:p>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ascii="黑体" w:hAnsi="黑体" w:eastAsia="黑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hint="eastAsia" w:ascii="黑体" w:hAnsi="黑体" w:eastAsia="黑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7F83A"/>
    <w:multiLevelType w:val="singleLevel"/>
    <w:tmpl w:val="CF17F83A"/>
    <w:lvl w:ilvl="0" w:tentative="0">
      <w:start w:val="6"/>
      <w:numFmt w:val="chineseCounting"/>
      <w:suff w:val="nothing"/>
      <w:lvlText w:val="（%1）"/>
      <w:lvlJc w:val="left"/>
      <w:rPr>
        <w:rFonts w:hint="eastAsia"/>
      </w:rPr>
    </w:lvl>
  </w:abstractNum>
  <w:abstractNum w:abstractNumId="1">
    <w:nsid w:val="56E11A4D"/>
    <w:multiLevelType w:val="singleLevel"/>
    <w:tmpl w:val="56E11A4D"/>
    <w:lvl w:ilvl="0" w:tentative="0">
      <w:start w:val="3"/>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NGYzMTUyZWZmY2IzZjgxYjE3MmMyZmU3OTY1YTcifQ=="/>
  </w:docVars>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5650"/>
    <w:rsid w:val="00035752"/>
    <w:rsid w:val="00035BEA"/>
    <w:rsid w:val="000405A5"/>
    <w:rsid w:val="00040859"/>
    <w:rsid w:val="00041C67"/>
    <w:rsid w:val="000434C7"/>
    <w:rsid w:val="000444C1"/>
    <w:rsid w:val="00044873"/>
    <w:rsid w:val="0004596D"/>
    <w:rsid w:val="0005092B"/>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4BAE"/>
    <w:rsid w:val="000C64DB"/>
    <w:rsid w:val="000C658D"/>
    <w:rsid w:val="000C6BE4"/>
    <w:rsid w:val="000C6DBE"/>
    <w:rsid w:val="000C6F01"/>
    <w:rsid w:val="000D037C"/>
    <w:rsid w:val="000D20EF"/>
    <w:rsid w:val="000D395B"/>
    <w:rsid w:val="000D473B"/>
    <w:rsid w:val="000D7AF7"/>
    <w:rsid w:val="000E3122"/>
    <w:rsid w:val="000E4BAE"/>
    <w:rsid w:val="000E6AA9"/>
    <w:rsid w:val="000F091C"/>
    <w:rsid w:val="000F145D"/>
    <w:rsid w:val="000F1869"/>
    <w:rsid w:val="000F283C"/>
    <w:rsid w:val="000F3159"/>
    <w:rsid w:val="000F370F"/>
    <w:rsid w:val="000F5BFA"/>
    <w:rsid w:val="000F7EAE"/>
    <w:rsid w:val="001021F0"/>
    <w:rsid w:val="00104043"/>
    <w:rsid w:val="001054DA"/>
    <w:rsid w:val="0011291D"/>
    <w:rsid w:val="00112FF4"/>
    <w:rsid w:val="001142F7"/>
    <w:rsid w:val="00114729"/>
    <w:rsid w:val="001169AA"/>
    <w:rsid w:val="00117253"/>
    <w:rsid w:val="00117475"/>
    <w:rsid w:val="001245B3"/>
    <w:rsid w:val="00124F7D"/>
    <w:rsid w:val="001252AD"/>
    <w:rsid w:val="00130515"/>
    <w:rsid w:val="00131626"/>
    <w:rsid w:val="001340F8"/>
    <w:rsid w:val="001368CA"/>
    <w:rsid w:val="001419F6"/>
    <w:rsid w:val="001437C9"/>
    <w:rsid w:val="00143E51"/>
    <w:rsid w:val="00143FAE"/>
    <w:rsid w:val="00145A0C"/>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266A"/>
    <w:rsid w:val="00203B41"/>
    <w:rsid w:val="00204354"/>
    <w:rsid w:val="00207113"/>
    <w:rsid w:val="00211D9C"/>
    <w:rsid w:val="00212E28"/>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46D3"/>
    <w:rsid w:val="00336EA0"/>
    <w:rsid w:val="00340A1C"/>
    <w:rsid w:val="00340F58"/>
    <w:rsid w:val="0034239F"/>
    <w:rsid w:val="00342AFA"/>
    <w:rsid w:val="00344740"/>
    <w:rsid w:val="00344B05"/>
    <w:rsid w:val="00360B66"/>
    <w:rsid w:val="003636BD"/>
    <w:rsid w:val="003638AA"/>
    <w:rsid w:val="00364B6C"/>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462A"/>
    <w:rsid w:val="003A53A0"/>
    <w:rsid w:val="003A547D"/>
    <w:rsid w:val="003A6468"/>
    <w:rsid w:val="003A6588"/>
    <w:rsid w:val="003A7C46"/>
    <w:rsid w:val="003B034E"/>
    <w:rsid w:val="003B2806"/>
    <w:rsid w:val="003B5FA1"/>
    <w:rsid w:val="003B75E1"/>
    <w:rsid w:val="003B77B6"/>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BE8"/>
    <w:rsid w:val="0045306A"/>
    <w:rsid w:val="004539BD"/>
    <w:rsid w:val="00453EF9"/>
    <w:rsid w:val="0045772A"/>
    <w:rsid w:val="00457E14"/>
    <w:rsid w:val="00462F56"/>
    <w:rsid w:val="004637D6"/>
    <w:rsid w:val="00467F27"/>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6097"/>
    <w:rsid w:val="00552FFC"/>
    <w:rsid w:val="0055601C"/>
    <w:rsid w:val="00557B89"/>
    <w:rsid w:val="00560F60"/>
    <w:rsid w:val="005616E5"/>
    <w:rsid w:val="0056174A"/>
    <w:rsid w:val="00562CE4"/>
    <w:rsid w:val="00563587"/>
    <w:rsid w:val="005636E3"/>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40646"/>
    <w:rsid w:val="00640D84"/>
    <w:rsid w:val="00640F9D"/>
    <w:rsid w:val="0064125A"/>
    <w:rsid w:val="00641464"/>
    <w:rsid w:val="00642301"/>
    <w:rsid w:val="00643752"/>
    <w:rsid w:val="00645852"/>
    <w:rsid w:val="00646431"/>
    <w:rsid w:val="00650E89"/>
    <w:rsid w:val="00652C05"/>
    <w:rsid w:val="00661D85"/>
    <w:rsid w:val="00663361"/>
    <w:rsid w:val="00663CCE"/>
    <w:rsid w:val="00667A8F"/>
    <w:rsid w:val="00667BC9"/>
    <w:rsid w:val="0067004F"/>
    <w:rsid w:val="00670AF3"/>
    <w:rsid w:val="006712C6"/>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413D6"/>
    <w:rsid w:val="00742D18"/>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487D"/>
    <w:rsid w:val="00775E72"/>
    <w:rsid w:val="0077602A"/>
    <w:rsid w:val="00776353"/>
    <w:rsid w:val="007775C0"/>
    <w:rsid w:val="007810B7"/>
    <w:rsid w:val="00783EED"/>
    <w:rsid w:val="00792471"/>
    <w:rsid w:val="007924EE"/>
    <w:rsid w:val="00793041"/>
    <w:rsid w:val="007955C0"/>
    <w:rsid w:val="00795D98"/>
    <w:rsid w:val="007A0C6B"/>
    <w:rsid w:val="007A0DE0"/>
    <w:rsid w:val="007A18B2"/>
    <w:rsid w:val="007A1CD7"/>
    <w:rsid w:val="007A443B"/>
    <w:rsid w:val="007A4F73"/>
    <w:rsid w:val="007A54CE"/>
    <w:rsid w:val="007A72AF"/>
    <w:rsid w:val="007B521D"/>
    <w:rsid w:val="007B65A9"/>
    <w:rsid w:val="007B72B6"/>
    <w:rsid w:val="007B76FE"/>
    <w:rsid w:val="007C0941"/>
    <w:rsid w:val="007C2859"/>
    <w:rsid w:val="007C7477"/>
    <w:rsid w:val="007C784F"/>
    <w:rsid w:val="007D0322"/>
    <w:rsid w:val="007D136C"/>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E1E"/>
    <w:rsid w:val="008711EF"/>
    <w:rsid w:val="008713D0"/>
    <w:rsid w:val="00881B08"/>
    <w:rsid w:val="00882D8A"/>
    <w:rsid w:val="00884364"/>
    <w:rsid w:val="008847F8"/>
    <w:rsid w:val="00884A83"/>
    <w:rsid w:val="00887366"/>
    <w:rsid w:val="00887A5F"/>
    <w:rsid w:val="00887D33"/>
    <w:rsid w:val="00887FD5"/>
    <w:rsid w:val="00892B03"/>
    <w:rsid w:val="00892FEC"/>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77D4"/>
    <w:rsid w:val="00940752"/>
    <w:rsid w:val="00941F13"/>
    <w:rsid w:val="009420BC"/>
    <w:rsid w:val="00944B5C"/>
    <w:rsid w:val="00944ED9"/>
    <w:rsid w:val="00945DE8"/>
    <w:rsid w:val="00952283"/>
    <w:rsid w:val="00952762"/>
    <w:rsid w:val="009534FA"/>
    <w:rsid w:val="00955972"/>
    <w:rsid w:val="00960B47"/>
    <w:rsid w:val="0096402E"/>
    <w:rsid w:val="00964601"/>
    <w:rsid w:val="00966E70"/>
    <w:rsid w:val="00973AE3"/>
    <w:rsid w:val="009773B7"/>
    <w:rsid w:val="00982C60"/>
    <w:rsid w:val="00983D63"/>
    <w:rsid w:val="00986E05"/>
    <w:rsid w:val="009876C6"/>
    <w:rsid w:val="00992C89"/>
    <w:rsid w:val="00993164"/>
    <w:rsid w:val="009974B4"/>
    <w:rsid w:val="00997515"/>
    <w:rsid w:val="009A4FDD"/>
    <w:rsid w:val="009A50A1"/>
    <w:rsid w:val="009A65B8"/>
    <w:rsid w:val="009A6C31"/>
    <w:rsid w:val="009B075D"/>
    <w:rsid w:val="009B0A59"/>
    <w:rsid w:val="009B232C"/>
    <w:rsid w:val="009B2592"/>
    <w:rsid w:val="009B5001"/>
    <w:rsid w:val="009C02B7"/>
    <w:rsid w:val="009C142B"/>
    <w:rsid w:val="009C3F3C"/>
    <w:rsid w:val="009C6B3C"/>
    <w:rsid w:val="009C7023"/>
    <w:rsid w:val="009D1736"/>
    <w:rsid w:val="009D3C86"/>
    <w:rsid w:val="009D4FD1"/>
    <w:rsid w:val="009D5ED2"/>
    <w:rsid w:val="009E1FDE"/>
    <w:rsid w:val="009E434F"/>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7559"/>
    <w:rsid w:val="00A27660"/>
    <w:rsid w:val="00A30D41"/>
    <w:rsid w:val="00A321DC"/>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34C3"/>
    <w:rsid w:val="00B23ABC"/>
    <w:rsid w:val="00B23ECF"/>
    <w:rsid w:val="00B2448C"/>
    <w:rsid w:val="00B25BAB"/>
    <w:rsid w:val="00B26022"/>
    <w:rsid w:val="00B314F6"/>
    <w:rsid w:val="00B32EF5"/>
    <w:rsid w:val="00B3536C"/>
    <w:rsid w:val="00B35F4F"/>
    <w:rsid w:val="00B370F0"/>
    <w:rsid w:val="00B402D0"/>
    <w:rsid w:val="00B43B8B"/>
    <w:rsid w:val="00B44C90"/>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373B"/>
    <w:rsid w:val="00BC4142"/>
    <w:rsid w:val="00BC4C75"/>
    <w:rsid w:val="00BD2A00"/>
    <w:rsid w:val="00BD55E9"/>
    <w:rsid w:val="00BE18D8"/>
    <w:rsid w:val="00BE1B0C"/>
    <w:rsid w:val="00BE3632"/>
    <w:rsid w:val="00BE4D33"/>
    <w:rsid w:val="00BE5292"/>
    <w:rsid w:val="00BE5B1B"/>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54296"/>
    <w:rsid w:val="00C55222"/>
    <w:rsid w:val="00C618AB"/>
    <w:rsid w:val="00C63ACB"/>
    <w:rsid w:val="00C63AE0"/>
    <w:rsid w:val="00C6432B"/>
    <w:rsid w:val="00C67D2E"/>
    <w:rsid w:val="00C71CA4"/>
    <w:rsid w:val="00C734E3"/>
    <w:rsid w:val="00C74A07"/>
    <w:rsid w:val="00C7746F"/>
    <w:rsid w:val="00C80755"/>
    <w:rsid w:val="00C809A8"/>
    <w:rsid w:val="00C8145E"/>
    <w:rsid w:val="00C849DA"/>
    <w:rsid w:val="00C872DB"/>
    <w:rsid w:val="00C87326"/>
    <w:rsid w:val="00C87410"/>
    <w:rsid w:val="00C8771F"/>
    <w:rsid w:val="00C9070E"/>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A9D"/>
    <w:rsid w:val="00D1102D"/>
    <w:rsid w:val="00D14195"/>
    <w:rsid w:val="00D15457"/>
    <w:rsid w:val="00D15CA6"/>
    <w:rsid w:val="00D15EB2"/>
    <w:rsid w:val="00D163C7"/>
    <w:rsid w:val="00D22609"/>
    <w:rsid w:val="00D22776"/>
    <w:rsid w:val="00D228F1"/>
    <w:rsid w:val="00D238BB"/>
    <w:rsid w:val="00D241FE"/>
    <w:rsid w:val="00D27F04"/>
    <w:rsid w:val="00D304DF"/>
    <w:rsid w:val="00D34EF0"/>
    <w:rsid w:val="00D359AD"/>
    <w:rsid w:val="00D435FC"/>
    <w:rsid w:val="00D45680"/>
    <w:rsid w:val="00D47C0F"/>
    <w:rsid w:val="00D5056D"/>
    <w:rsid w:val="00D50B60"/>
    <w:rsid w:val="00D51877"/>
    <w:rsid w:val="00D51FD9"/>
    <w:rsid w:val="00D52466"/>
    <w:rsid w:val="00D54973"/>
    <w:rsid w:val="00D55D6E"/>
    <w:rsid w:val="00D61A8C"/>
    <w:rsid w:val="00D64946"/>
    <w:rsid w:val="00D652AA"/>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5AE1"/>
    <w:rsid w:val="00ED6C2D"/>
    <w:rsid w:val="00ED7450"/>
    <w:rsid w:val="00ED78A2"/>
    <w:rsid w:val="00EE0ADF"/>
    <w:rsid w:val="00EE4AA7"/>
    <w:rsid w:val="00EE4FC1"/>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43FC"/>
    <w:rsid w:val="00F94F04"/>
    <w:rsid w:val="00FA0FA0"/>
    <w:rsid w:val="00FA4BA2"/>
    <w:rsid w:val="00FA56C3"/>
    <w:rsid w:val="00FB187F"/>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52665D"/>
    <w:rsid w:val="028C3FC7"/>
    <w:rsid w:val="0292641E"/>
    <w:rsid w:val="03512577"/>
    <w:rsid w:val="048A06A0"/>
    <w:rsid w:val="04957EE9"/>
    <w:rsid w:val="05526DC9"/>
    <w:rsid w:val="05BB778A"/>
    <w:rsid w:val="06D414D1"/>
    <w:rsid w:val="070E362D"/>
    <w:rsid w:val="0770194E"/>
    <w:rsid w:val="07B43E13"/>
    <w:rsid w:val="08AB2A59"/>
    <w:rsid w:val="08B912A8"/>
    <w:rsid w:val="08BA1D24"/>
    <w:rsid w:val="08CE0A51"/>
    <w:rsid w:val="09035093"/>
    <w:rsid w:val="095C4665"/>
    <w:rsid w:val="09826498"/>
    <w:rsid w:val="0B307F06"/>
    <w:rsid w:val="0B7C5866"/>
    <w:rsid w:val="0C0A519D"/>
    <w:rsid w:val="0D01120E"/>
    <w:rsid w:val="0D4E0FE4"/>
    <w:rsid w:val="0D712B7F"/>
    <w:rsid w:val="0D775AF9"/>
    <w:rsid w:val="0F5E67A1"/>
    <w:rsid w:val="0F673852"/>
    <w:rsid w:val="0F7E40C3"/>
    <w:rsid w:val="0F7E5280"/>
    <w:rsid w:val="0FDA2599"/>
    <w:rsid w:val="10747556"/>
    <w:rsid w:val="1233767B"/>
    <w:rsid w:val="12736131"/>
    <w:rsid w:val="12930C1E"/>
    <w:rsid w:val="13116383"/>
    <w:rsid w:val="136E12A8"/>
    <w:rsid w:val="14321311"/>
    <w:rsid w:val="15721E39"/>
    <w:rsid w:val="15D10434"/>
    <w:rsid w:val="17A65A79"/>
    <w:rsid w:val="17C90A93"/>
    <w:rsid w:val="17EC7D8A"/>
    <w:rsid w:val="189947E7"/>
    <w:rsid w:val="18CD2BB1"/>
    <w:rsid w:val="18DF73F1"/>
    <w:rsid w:val="19967815"/>
    <w:rsid w:val="19BF2B73"/>
    <w:rsid w:val="1AAE7A8C"/>
    <w:rsid w:val="1B9B601B"/>
    <w:rsid w:val="1BA40ECE"/>
    <w:rsid w:val="1BB83B21"/>
    <w:rsid w:val="1D2720BA"/>
    <w:rsid w:val="1DD93C24"/>
    <w:rsid w:val="1E214675"/>
    <w:rsid w:val="1EB61116"/>
    <w:rsid w:val="1ED41666"/>
    <w:rsid w:val="2068650F"/>
    <w:rsid w:val="20E21F80"/>
    <w:rsid w:val="222B0ECC"/>
    <w:rsid w:val="224F0DAC"/>
    <w:rsid w:val="225B5109"/>
    <w:rsid w:val="2335767E"/>
    <w:rsid w:val="2375669A"/>
    <w:rsid w:val="23C65ED0"/>
    <w:rsid w:val="247F3E8F"/>
    <w:rsid w:val="248B19EE"/>
    <w:rsid w:val="24EA789C"/>
    <w:rsid w:val="253121A4"/>
    <w:rsid w:val="25F43BE9"/>
    <w:rsid w:val="25FF2B4E"/>
    <w:rsid w:val="27005CC4"/>
    <w:rsid w:val="277C5E7B"/>
    <w:rsid w:val="278B3679"/>
    <w:rsid w:val="27DA79BE"/>
    <w:rsid w:val="27EF5406"/>
    <w:rsid w:val="282F2EFC"/>
    <w:rsid w:val="289D572F"/>
    <w:rsid w:val="2A0332FC"/>
    <w:rsid w:val="2A201D6B"/>
    <w:rsid w:val="2B513D35"/>
    <w:rsid w:val="2C1E60E0"/>
    <w:rsid w:val="2DC258EC"/>
    <w:rsid w:val="2FAD22CB"/>
    <w:rsid w:val="31CB7827"/>
    <w:rsid w:val="31D41A4F"/>
    <w:rsid w:val="339A024A"/>
    <w:rsid w:val="33FF669A"/>
    <w:rsid w:val="34741148"/>
    <w:rsid w:val="348D41C6"/>
    <w:rsid w:val="34C346A0"/>
    <w:rsid w:val="35104AC8"/>
    <w:rsid w:val="355E7103"/>
    <w:rsid w:val="35E714F7"/>
    <w:rsid w:val="36336D61"/>
    <w:rsid w:val="37933317"/>
    <w:rsid w:val="388B3DF4"/>
    <w:rsid w:val="38DC1FEA"/>
    <w:rsid w:val="399A540A"/>
    <w:rsid w:val="39B05732"/>
    <w:rsid w:val="39CC6FB5"/>
    <w:rsid w:val="3A742C7D"/>
    <w:rsid w:val="3B4300C7"/>
    <w:rsid w:val="3B690306"/>
    <w:rsid w:val="3B82342F"/>
    <w:rsid w:val="3BB76A33"/>
    <w:rsid w:val="3BD66891"/>
    <w:rsid w:val="3C2F484D"/>
    <w:rsid w:val="3D5B22AD"/>
    <w:rsid w:val="3E56725E"/>
    <w:rsid w:val="3EAA6A12"/>
    <w:rsid w:val="3F104904"/>
    <w:rsid w:val="3F377CF4"/>
    <w:rsid w:val="3F50013C"/>
    <w:rsid w:val="3FE13D50"/>
    <w:rsid w:val="40007AE3"/>
    <w:rsid w:val="4036253F"/>
    <w:rsid w:val="412A02F4"/>
    <w:rsid w:val="415C3948"/>
    <w:rsid w:val="419710F7"/>
    <w:rsid w:val="41BF421A"/>
    <w:rsid w:val="41F85FDB"/>
    <w:rsid w:val="43496ADC"/>
    <w:rsid w:val="437F2A4C"/>
    <w:rsid w:val="438602D6"/>
    <w:rsid w:val="445530B8"/>
    <w:rsid w:val="44D64D9B"/>
    <w:rsid w:val="44EB5E5E"/>
    <w:rsid w:val="45E579DF"/>
    <w:rsid w:val="45F431D4"/>
    <w:rsid w:val="46796D4B"/>
    <w:rsid w:val="46D92C50"/>
    <w:rsid w:val="47293CD0"/>
    <w:rsid w:val="48F30D3D"/>
    <w:rsid w:val="49FD4CC9"/>
    <w:rsid w:val="4A976F81"/>
    <w:rsid w:val="4B5F72ED"/>
    <w:rsid w:val="4B863005"/>
    <w:rsid w:val="4BC92DD3"/>
    <w:rsid w:val="4C095A4C"/>
    <w:rsid w:val="4C6704EE"/>
    <w:rsid w:val="4C8B73FF"/>
    <w:rsid w:val="4CAE3FDC"/>
    <w:rsid w:val="4D462A24"/>
    <w:rsid w:val="4F18084C"/>
    <w:rsid w:val="4F2426DA"/>
    <w:rsid w:val="4FC82678"/>
    <w:rsid w:val="4FE70916"/>
    <w:rsid w:val="502A5F79"/>
    <w:rsid w:val="515079AF"/>
    <w:rsid w:val="51CB4A85"/>
    <w:rsid w:val="52735B2C"/>
    <w:rsid w:val="52820929"/>
    <w:rsid w:val="53805D47"/>
    <w:rsid w:val="53B34A59"/>
    <w:rsid w:val="53B67530"/>
    <w:rsid w:val="547E60BB"/>
    <w:rsid w:val="54E51516"/>
    <w:rsid w:val="552114B7"/>
    <w:rsid w:val="562C675F"/>
    <w:rsid w:val="571742F6"/>
    <w:rsid w:val="57661D50"/>
    <w:rsid w:val="57D14A00"/>
    <w:rsid w:val="584667E1"/>
    <w:rsid w:val="5867603E"/>
    <w:rsid w:val="58BA6992"/>
    <w:rsid w:val="58E20196"/>
    <w:rsid w:val="59F51F76"/>
    <w:rsid w:val="5A721394"/>
    <w:rsid w:val="5AB042BC"/>
    <w:rsid w:val="5ABB5366"/>
    <w:rsid w:val="5B32041A"/>
    <w:rsid w:val="5B7831A0"/>
    <w:rsid w:val="5BE30604"/>
    <w:rsid w:val="5E06036E"/>
    <w:rsid w:val="5EBB4EE6"/>
    <w:rsid w:val="5F371FB4"/>
    <w:rsid w:val="5F88394B"/>
    <w:rsid w:val="5F884E09"/>
    <w:rsid w:val="5FBF60C5"/>
    <w:rsid w:val="604A3A09"/>
    <w:rsid w:val="61ED2F49"/>
    <w:rsid w:val="626735E5"/>
    <w:rsid w:val="62847ECE"/>
    <w:rsid w:val="62B26897"/>
    <w:rsid w:val="62E05432"/>
    <w:rsid w:val="63E52F65"/>
    <w:rsid w:val="642D0CA5"/>
    <w:rsid w:val="65A706F6"/>
    <w:rsid w:val="66A81C74"/>
    <w:rsid w:val="66A8793B"/>
    <w:rsid w:val="67C30A19"/>
    <w:rsid w:val="69A97868"/>
    <w:rsid w:val="69C07558"/>
    <w:rsid w:val="6A7C5642"/>
    <w:rsid w:val="6AC271EF"/>
    <w:rsid w:val="6AE23E89"/>
    <w:rsid w:val="6B3C4E03"/>
    <w:rsid w:val="6B707ECD"/>
    <w:rsid w:val="6C5042C3"/>
    <w:rsid w:val="6CA2084A"/>
    <w:rsid w:val="6D084564"/>
    <w:rsid w:val="6E625B05"/>
    <w:rsid w:val="6F203F65"/>
    <w:rsid w:val="702F3F50"/>
    <w:rsid w:val="70992649"/>
    <w:rsid w:val="72336AC0"/>
    <w:rsid w:val="73A27A72"/>
    <w:rsid w:val="7506570B"/>
    <w:rsid w:val="755F7C58"/>
    <w:rsid w:val="759A5F7F"/>
    <w:rsid w:val="76015D09"/>
    <w:rsid w:val="767C2E15"/>
    <w:rsid w:val="77316224"/>
    <w:rsid w:val="7759670D"/>
    <w:rsid w:val="77E52BFF"/>
    <w:rsid w:val="77F93384"/>
    <w:rsid w:val="796A3742"/>
    <w:rsid w:val="7AAA62CC"/>
    <w:rsid w:val="7B161187"/>
    <w:rsid w:val="7B862667"/>
    <w:rsid w:val="7C001336"/>
    <w:rsid w:val="7C2E5379"/>
    <w:rsid w:val="7C4902F7"/>
    <w:rsid w:val="7CF60314"/>
    <w:rsid w:val="7D4D264B"/>
    <w:rsid w:val="7E8F73C2"/>
    <w:rsid w:val="7EB72B1C"/>
    <w:rsid w:val="7FA70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5">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6">
    <w:name w:val="heading 4"/>
    <w:basedOn w:val="5"/>
    <w:next w:val="1"/>
    <w:link w:val="36"/>
    <w:qFormat/>
    <w:uiPriority w:val="0"/>
    <w:pPr>
      <w:jc w:val="center"/>
      <w:outlineLvl w:val="3"/>
    </w:p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8"/>
    <w:qFormat/>
    <w:uiPriority w:val="0"/>
    <w:rPr>
      <w:sz w:val="26"/>
    </w:rPr>
  </w:style>
  <w:style w:type="paragraph" w:styleId="7">
    <w:name w:val="annotation text"/>
    <w:basedOn w:val="1"/>
    <w:link w:val="43"/>
    <w:qFormat/>
    <w:uiPriority w:val="0"/>
    <w:pPr>
      <w:adjustRightInd w:val="0"/>
      <w:spacing w:line="360" w:lineRule="atLeast"/>
      <w:jc w:val="left"/>
      <w:textAlignment w:val="baseline"/>
    </w:pPr>
    <w:rPr>
      <w:kern w:val="0"/>
      <w:sz w:val="24"/>
      <w:szCs w:val="20"/>
    </w:rPr>
  </w:style>
  <w:style w:type="paragraph" w:styleId="8">
    <w:name w:val="Body Text 3"/>
    <w:basedOn w:val="1"/>
    <w:qFormat/>
    <w:uiPriority w:val="0"/>
    <w:pPr>
      <w:spacing w:after="120"/>
    </w:pPr>
    <w:rPr>
      <w:sz w:val="16"/>
      <w:szCs w:val="16"/>
    </w:rPr>
  </w:style>
  <w:style w:type="paragraph" w:styleId="9">
    <w:name w:val="toc 3"/>
    <w:basedOn w:val="1"/>
    <w:next w:val="1"/>
    <w:qFormat/>
    <w:uiPriority w:val="39"/>
    <w:pPr>
      <w:ind w:left="420"/>
      <w:jc w:val="left"/>
    </w:pPr>
    <w:rPr>
      <w:rFonts w:ascii="Calibri" w:hAnsi="Calibri" w:eastAsia="仿宋_GB2312"/>
      <w:iCs/>
      <w:szCs w:val="20"/>
    </w:rPr>
  </w:style>
  <w:style w:type="paragraph" w:styleId="10">
    <w:name w:val="Plain Text"/>
    <w:basedOn w:val="1"/>
    <w:link w:val="53"/>
    <w:qFormat/>
    <w:uiPriority w:val="0"/>
    <w:rPr>
      <w:rFonts w:ascii="宋体" w:hAnsi="Courier New"/>
      <w:sz w:val="28"/>
      <w:szCs w:val="28"/>
    </w:rPr>
  </w:style>
  <w:style w:type="paragraph" w:styleId="11">
    <w:name w:val="Date"/>
    <w:basedOn w:val="1"/>
    <w:next w:val="1"/>
    <w:link w:val="48"/>
    <w:qFormat/>
    <w:uiPriority w:val="0"/>
    <w:pPr>
      <w:ind w:left="100" w:leftChars="2500"/>
    </w:pPr>
  </w:style>
  <w:style w:type="paragraph" w:styleId="12">
    <w:name w:val="Body Text Indent 2"/>
    <w:basedOn w:val="1"/>
    <w:qFormat/>
    <w:uiPriority w:val="0"/>
    <w:pPr>
      <w:ind w:left="1005" w:hanging="1005"/>
    </w:pPr>
    <w:rPr>
      <w:rFonts w:eastAsia="仿宋_GB2312"/>
      <w:sz w:val="32"/>
      <w:szCs w:val="20"/>
    </w:rPr>
  </w:style>
  <w:style w:type="paragraph" w:styleId="13">
    <w:name w:val="Balloon Text"/>
    <w:basedOn w:val="1"/>
    <w:link w:val="54"/>
    <w:qFormat/>
    <w:uiPriority w:val="0"/>
    <w:rPr>
      <w:sz w:val="18"/>
      <w:szCs w:val="18"/>
    </w:rPr>
  </w:style>
  <w:style w:type="paragraph" w:styleId="14">
    <w:name w:val="footer"/>
    <w:basedOn w:val="1"/>
    <w:link w:val="50"/>
    <w:qFormat/>
    <w:uiPriority w:val="99"/>
    <w:pPr>
      <w:tabs>
        <w:tab w:val="center" w:pos="4153"/>
        <w:tab w:val="right" w:pos="8306"/>
      </w:tabs>
      <w:snapToGrid w:val="0"/>
      <w:jc w:val="left"/>
    </w:pPr>
    <w:rPr>
      <w:sz w:val="18"/>
      <w:szCs w:val="18"/>
    </w:rPr>
  </w:style>
  <w:style w:type="paragraph" w:styleId="15">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Calibri" w:hAnsi="Calibri" w:eastAsia="仿宋_GB2312"/>
      <w:b/>
      <w:bCs/>
      <w:caps/>
      <w:sz w:val="28"/>
      <w:szCs w:val="20"/>
    </w:rPr>
  </w:style>
  <w:style w:type="paragraph" w:styleId="17">
    <w:name w:val="Subtitle"/>
    <w:basedOn w:val="1"/>
    <w:link w:val="51"/>
    <w:qFormat/>
    <w:uiPriority w:val="0"/>
    <w:pPr>
      <w:widowControl/>
      <w:jc w:val="center"/>
    </w:pPr>
    <w:rPr>
      <w:kern w:val="0"/>
      <w:sz w:val="20"/>
      <w:u w:val="single"/>
      <w:lang w:eastAsia="en-US"/>
    </w:rPr>
  </w:style>
  <w:style w:type="paragraph" w:styleId="18">
    <w:name w:val="footnote text"/>
    <w:basedOn w:val="1"/>
    <w:link w:val="37"/>
    <w:qFormat/>
    <w:uiPriority w:val="0"/>
    <w:pPr>
      <w:snapToGrid w:val="0"/>
      <w:jc w:val="left"/>
    </w:pPr>
    <w:rPr>
      <w:sz w:val="18"/>
      <w:szCs w:val="18"/>
    </w:rPr>
  </w:style>
  <w:style w:type="paragraph" w:styleId="19">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0">
    <w:name w:val="Body Text 2"/>
    <w:basedOn w:val="1"/>
    <w:link w:val="39"/>
    <w:qFormat/>
    <w:uiPriority w:val="0"/>
    <w:rPr>
      <w:i/>
      <w:iCs/>
      <w:sz w:val="26"/>
    </w:rPr>
  </w:style>
  <w:style w:type="paragraph" w:styleId="21">
    <w:name w:val="List Continue 2"/>
    <w:basedOn w:val="1"/>
    <w:qFormat/>
    <w:uiPriority w:val="0"/>
    <w:pPr>
      <w:spacing w:after="120"/>
      <w:ind w:left="840" w:leftChars="400"/>
    </w:pPr>
    <w:rPr>
      <w:szCs w:val="20"/>
    </w:rPr>
  </w:style>
  <w:style w:type="paragraph" w:styleId="22">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3">
    <w:name w:val="Normal (Web)"/>
    <w:basedOn w:val="1"/>
    <w:qFormat/>
    <w:uiPriority w:val="0"/>
    <w:pPr>
      <w:widowControl/>
      <w:jc w:val="left"/>
    </w:pPr>
    <w:rPr>
      <w:rFonts w:ascii="宋体" w:hAnsi="宋体" w:cs="宋体"/>
      <w:kern w:val="0"/>
      <w:sz w:val="24"/>
    </w:rPr>
  </w:style>
  <w:style w:type="paragraph" w:styleId="24">
    <w:name w:val="annotation subject"/>
    <w:basedOn w:val="7"/>
    <w:next w:val="7"/>
    <w:link w:val="42"/>
    <w:qFormat/>
    <w:uiPriority w:val="0"/>
    <w:pPr>
      <w:adjustRightInd/>
      <w:spacing w:line="240" w:lineRule="auto"/>
      <w:textAlignment w:val="auto"/>
    </w:pPr>
    <w:rPr>
      <w:b/>
      <w:bCs/>
      <w:kern w:val="2"/>
      <w:sz w:val="21"/>
      <w:szCs w:val="24"/>
    </w:rPr>
  </w:style>
  <w:style w:type="paragraph" w:styleId="25">
    <w:name w:val="Body Text First Indent"/>
    <w:basedOn w:val="2"/>
    <w:link w:val="41"/>
    <w:qFormat/>
    <w:uiPriority w:val="0"/>
    <w:pPr>
      <w:spacing w:after="120"/>
      <w:ind w:firstLine="420" w:firstLineChars="100"/>
    </w:pPr>
    <w:rPr>
      <w:sz w:val="28"/>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Emphasis"/>
    <w:qFormat/>
    <w:uiPriority w:val="20"/>
    <w:rPr>
      <w:i/>
      <w:iCs/>
    </w:rPr>
  </w:style>
  <w:style w:type="character" w:styleId="31">
    <w:name w:val="Hyperlink"/>
    <w:qFormat/>
    <w:uiPriority w:val="99"/>
    <w:rPr>
      <w:color w:val="0000FF"/>
      <w:u w:val="single"/>
    </w:rPr>
  </w:style>
  <w:style w:type="character" w:styleId="32">
    <w:name w:val="annotation reference"/>
    <w:semiHidden/>
    <w:qFormat/>
    <w:uiPriority w:val="0"/>
    <w:rPr>
      <w:sz w:val="21"/>
      <w:szCs w:val="21"/>
    </w:rPr>
  </w:style>
  <w:style w:type="character" w:customStyle="1" w:styleId="33">
    <w:name w:val="标题 1 Char"/>
    <w:link w:val="3"/>
    <w:qFormat/>
    <w:uiPriority w:val="0"/>
    <w:rPr>
      <w:rFonts w:eastAsia="黑体"/>
      <w:kern w:val="2"/>
      <w:sz w:val="44"/>
      <w:szCs w:val="44"/>
    </w:rPr>
  </w:style>
  <w:style w:type="character" w:customStyle="1" w:styleId="34">
    <w:name w:val="标题 2 Char"/>
    <w:link w:val="4"/>
    <w:qFormat/>
    <w:uiPriority w:val="0"/>
    <w:rPr>
      <w:rFonts w:ascii="仿宋_GB2312" w:eastAsia="仿宋_GB2312" w:cs="MingLiU"/>
      <w:b/>
      <w:spacing w:val="1"/>
      <w:w w:val="99"/>
      <w:sz w:val="28"/>
      <w:szCs w:val="32"/>
      <w:lang w:val="en-US" w:eastAsia="zh-CN" w:bidi="ar-SA"/>
    </w:rPr>
  </w:style>
  <w:style w:type="character" w:customStyle="1" w:styleId="35">
    <w:name w:val="标题 3 Char"/>
    <w:link w:val="5"/>
    <w:qFormat/>
    <w:uiPriority w:val="0"/>
    <w:rPr>
      <w:rFonts w:ascii="仿宋_GB2312" w:eastAsia="仿宋_GB2312" w:cs="MingLiU"/>
      <w:b/>
      <w:sz w:val="24"/>
      <w:szCs w:val="28"/>
      <w:lang w:val="en-US" w:eastAsia="zh-CN" w:bidi="ar-SA"/>
    </w:rPr>
  </w:style>
  <w:style w:type="character" w:customStyle="1" w:styleId="36">
    <w:name w:val="标题 4 Char"/>
    <w:link w:val="6"/>
    <w:qFormat/>
    <w:uiPriority w:val="0"/>
    <w:rPr>
      <w:rFonts w:ascii="仿宋_GB2312" w:eastAsia="仿宋_GB2312" w:cs="MingLiU"/>
      <w:b/>
      <w:sz w:val="24"/>
      <w:szCs w:val="28"/>
      <w:lang w:val="en-US" w:eastAsia="zh-CN" w:bidi="ar-SA"/>
    </w:rPr>
  </w:style>
  <w:style w:type="character" w:customStyle="1" w:styleId="37">
    <w:name w:val="脚注文本 Char"/>
    <w:link w:val="18"/>
    <w:qFormat/>
    <w:uiPriority w:val="0"/>
    <w:rPr>
      <w:rFonts w:eastAsia="宋体"/>
      <w:kern w:val="2"/>
      <w:sz w:val="18"/>
      <w:szCs w:val="18"/>
      <w:lang w:val="en-US" w:eastAsia="zh-CN" w:bidi="ar-SA"/>
    </w:rPr>
  </w:style>
  <w:style w:type="character" w:customStyle="1" w:styleId="38">
    <w:name w:val="正文文本 Char"/>
    <w:link w:val="2"/>
    <w:qFormat/>
    <w:uiPriority w:val="0"/>
    <w:rPr>
      <w:rFonts w:eastAsia="宋体"/>
      <w:kern w:val="2"/>
      <w:sz w:val="26"/>
      <w:szCs w:val="24"/>
      <w:lang w:val="en-US" w:eastAsia="zh-CN" w:bidi="ar-SA"/>
    </w:rPr>
  </w:style>
  <w:style w:type="character" w:customStyle="1" w:styleId="39">
    <w:name w:val="正文文本 2 Char"/>
    <w:link w:val="20"/>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首行缩进 Char"/>
    <w:link w:val="25"/>
    <w:qFormat/>
    <w:uiPriority w:val="0"/>
    <w:rPr>
      <w:rFonts w:eastAsia="宋体"/>
      <w:kern w:val="2"/>
      <w:sz w:val="28"/>
      <w:szCs w:val="24"/>
      <w:lang w:val="en-US" w:eastAsia="zh-CN" w:bidi="ar-SA"/>
    </w:rPr>
  </w:style>
  <w:style w:type="character" w:customStyle="1" w:styleId="42">
    <w:name w:val="批注主题 Char"/>
    <w:link w:val="24"/>
    <w:qFormat/>
    <w:uiPriority w:val="0"/>
    <w:rPr>
      <w:rFonts w:eastAsia="宋体"/>
      <w:b/>
      <w:bCs/>
      <w:kern w:val="2"/>
      <w:sz w:val="21"/>
      <w:szCs w:val="24"/>
      <w:lang w:val="en-US" w:eastAsia="zh-CN" w:bidi="ar-SA"/>
    </w:rPr>
  </w:style>
  <w:style w:type="character" w:customStyle="1" w:styleId="43">
    <w:name w:val="批注文字 Char"/>
    <w:link w:val="7"/>
    <w:qFormat/>
    <w:uiPriority w:val="0"/>
    <w:rPr>
      <w:rFonts w:eastAsia="宋体"/>
      <w:sz w:val="24"/>
      <w:lang w:val="en-US" w:eastAsia="zh-CN" w:bidi="ar-SA"/>
    </w:rPr>
  </w:style>
  <w:style w:type="character" w:customStyle="1" w:styleId="44">
    <w:name w:val="HTML 预设格式 Char"/>
    <w:link w:val="22"/>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Char"/>
    <w:link w:val="11"/>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Char"/>
    <w:link w:val="14"/>
    <w:qFormat/>
    <w:uiPriority w:val="99"/>
    <w:rPr>
      <w:rFonts w:eastAsia="宋体"/>
      <w:kern w:val="2"/>
      <w:sz w:val="18"/>
      <w:szCs w:val="18"/>
      <w:lang w:val="en-US" w:eastAsia="zh-CN" w:bidi="ar-SA"/>
    </w:rPr>
  </w:style>
  <w:style w:type="character" w:customStyle="1" w:styleId="51">
    <w:name w:val="副标题 Char"/>
    <w:link w:val="17"/>
    <w:qFormat/>
    <w:uiPriority w:val="0"/>
    <w:rPr>
      <w:szCs w:val="24"/>
      <w:u w:val="single"/>
      <w:lang w:eastAsia="en-US"/>
    </w:rPr>
  </w:style>
  <w:style w:type="character" w:customStyle="1" w:styleId="52">
    <w:name w:val="页眉 Char"/>
    <w:link w:val="15"/>
    <w:qFormat/>
    <w:uiPriority w:val="0"/>
    <w:rPr>
      <w:rFonts w:eastAsia="宋体"/>
      <w:kern w:val="2"/>
      <w:sz w:val="18"/>
      <w:szCs w:val="18"/>
      <w:lang w:val="en-US" w:eastAsia="zh-CN" w:bidi="ar-SA"/>
    </w:rPr>
  </w:style>
  <w:style w:type="character" w:customStyle="1" w:styleId="53">
    <w:name w:val="纯文本 Char"/>
    <w:link w:val="10"/>
    <w:qFormat/>
    <w:uiPriority w:val="0"/>
    <w:rPr>
      <w:rFonts w:ascii="宋体" w:hAnsi="Courier New" w:eastAsia="宋体"/>
      <w:kern w:val="2"/>
      <w:sz w:val="28"/>
      <w:szCs w:val="28"/>
      <w:lang w:val="en-US" w:eastAsia="zh-CN" w:bidi="ar-SA"/>
    </w:rPr>
  </w:style>
  <w:style w:type="character" w:customStyle="1" w:styleId="54">
    <w:name w:val="批注框文本 Char"/>
    <w:link w:val="13"/>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5"/>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rFonts w:eastAsia="宋体"/>
      <w:sz w:val="21"/>
      <w:szCs w:val="21"/>
    </w:rPr>
  </w:style>
  <w:style w:type="character" w:customStyle="1" w:styleId="73">
    <w:name w:val="font51"/>
    <w:basedOn w:val="28"/>
    <w:qFormat/>
    <w:uiPriority w:val="0"/>
    <w:rPr>
      <w:rFonts w:hint="eastAsia" w:ascii="方正仿宋_GBK" w:hAnsi="方正仿宋_GBK" w:eastAsia="方正仿宋_GBK" w:cs="方正仿宋_GBK"/>
      <w:color w:val="000000"/>
      <w:sz w:val="24"/>
      <w:szCs w:val="24"/>
      <w:u w:val="none"/>
    </w:rPr>
  </w:style>
  <w:style w:type="character" w:customStyle="1" w:styleId="74">
    <w:name w:val="font41"/>
    <w:basedOn w:val="28"/>
    <w:qFormat/>
    <w:uiPriority w:val="0"/>
    <w:rPr>
      <w:rFonts w:hint="eastAsia" w:ascii="方正仿宋_GBK" w:hAnsi="方正仿宋_GBK" w:eastAsia="方正仿宋_GBK" w:cs="方正仿宋_GBK"/>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5876</Words>
  <Characters>6237</Characters>
  <Lines>255</Lines>
  <Paragraphs>71</Paragraphs>
  <TotalTime>20</TotalTime>
  <ScaleCrop>false</ScaleCrop>
  <LinksUpToDate>false</LinksUpToDate>
  <CharactersWithSpaces>7460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2016-09-05T06:48:00Z</dcterms:created>
  <dc:creator>微软用户</dc:creator>
  <cp:lastModifiedBy>Administrator</cp:lastModifiedBy>
  <cp:lastPrinted>2022-01-25T02:07:00Z</cp:lastPrinted>
  <dcterms:modified xsi:type="dcterms:W3CDTF">2023-05-22T02:56:31Z</dcterms:modified>
  <dc:title>经开区南北干道、开成路北段道路景观设计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5F734BD961CB4A21A76D920DA4D06265_13</vt:lpwstr>
  </property>
</Properties>
</file>